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jc w:val="center"/>
        <w:rPr>
          <w:rFonts w:hint="eastAsia" w:ascii="仿宋_GB2312" w:eastAsia="仿宋_GB2312"/>
          <w:sz w:val="30"/>
          <w:szCs w:val="30"/>
        </w:rPr>
      </w:pPr>
    </w:p>
    <w:p>
      <w:pPr>
        <w:pStyle w:val="7"/>
        <w:spacing w:before="0" w:beforeAutospacing="0" w:after="0" w:afterAutospacing="0"/>
        <w:jc w:val="center"/>
        <w:rPr>
          <w:rFonts w:hint="eastAsia" w:ascii="仿宋_GB2312" w:eastAsia="仿宋_GB2312"/>
          <w:sz w:val="30"/>
          <w:szCs w:val="30"/>
        </w:rPr>
      </w:pPr>
    </w:p>
    <w:p>
      <w:pPr>
        <w:pStyle w:val="7"/>
        <w:spacing w:before="0" w:beforeAutospacing="0" w:after="0" w:afterAutospacing="0"/>
        <w:jc w:val="center"/>
        <w:rPr>
          <w:rFonts w:hint="eastAsia" w:ascii="仿宋_GB2312" w:eastAsia="仿宋_GB2312"/>
          <w:sz w:val="30"/>
          <w:szCs w:val="30"/>
        </w:rPr>
      </w:pPr>
    </w:p>
    <w:p>
      <w:pPr>
        <w:pStyle w:val="7"/>
        <w:spacing w:before="0" w:beforeAutospacing="0" w:after="0" w:afterAutospacing="0" w:line="560" w:lineRule="exact"/>
        <w:jc w:val="center"/>
        <w:rPr>
          <w:rFonts w:hint="eastAsia" w:ascii="仿宋_GB2312" w:eastAsia="仿宋_GB2312"/>
          <w:sz w:val="30"/>
          <w:szCs w:val="30"/>
        </w:rPr>
      </w:pPr>
    </w:p>
    <w:p>
      <w:pPr>
        <w:pStyle w:val="7"/>
        <w:spacing w:before="0" w:beforeAutospacing="0" w:after="0" w:afterAutospacing="0" w:line="560" w:lineRule="exact"/>
        <w:jc w:val="center"/>
        <w:rPr>
          <w:rFonts w:hint="eastAsia" w:ascii="仿宋_GB2312" w:eastAsia="仿宋_GB2312"/>
          <w:sz w:val="30"/>
          <w:szCs w:val="30"/>
        </w:rPr>
      </w:pPr>
    </w:p>
    <w:p>
      <w:pPr>
        <w:pStyle w:val="7"/>
        <w:spacing w:before="0" w:beforeAutospacing="0" w:after="0" w:afterAutospacing="0" w:line="560" w:lineRule="exact"/>
        <w:jc w:val="center"/>
        <w:rPr>
          <w:rFonts w:hint="eastAsia" w:ascii="仿宋_GB2312" w:eastAsia="仿宋_GB2312" w:cs="Times New Roman"/>
          <w:kern w:val="2"/>
          <w:sz w:val="32"/>
        </w:rPr>
      </w:pPr>
    </w:p>
    <w:p>
      <w:pPr>
        <w:pStyle w:val="7"/>
        <w:spacing w:before="0" w:beforeAutospacing="0" w:after="0" w:afterAutospacing="0"/>
        <w:jc w:val="center"/>
        <w:rPr>
          <w:rFonts w:hint="eastAsia" w:ascii="仿宋_GB2312" w:eastAsia="仿宋_GB2312" w:cs="Times New Roman"/>
          <w:kern w:val="2"/>
          <w:sz w:val="32"/>
        </w:rPr>
      </w:pPr>
      <w:bookmarkStart w:id="0" w:name="OLE_LINK3"/>
      <w:bookmarkStart w:id="1" w:name="OLE_LINK1"/>
      <w:r>
        <w:rPr>
          <w:rFonts w:hint="eastAsia" w:ascii="仿宋_GB2312" w:eastAsia="仿宋_GB2312" w:cs="Times New Roman"/>
          <w:kern w:val="2"/>
          <w:sz w:val="32"/>
        </w:rPr>
        <w:t>校发〔2018〕383号</w:t>
      </w:r>
    </w:p>
    <w:p>
      <w:pPr>
        <w:pStyle w:val="7"/>
        <w:spacing w:before="0" w:beforeAutospacing="0" w:after="0" w:afterAutospacing="0"/>
        <w:jc w:val="center"/>
        <w:rPr>
          <w:rFonts w:hint="eastAsia" w:ascii="仿宋_GB2312" w:eastAsia="仿宋_GB2312"/>
          <w:sz w:val="30"/>
          <w:szCs w:val="30"/>
        </w:rPr>
      </w:pPr>
    </w:p>
    <w:p>
      <w:pPr>
        <w:widowControl/>
        <w:shd w:val="clear" w:color="auto" w:fill="FFFFFF" w:themeFill="background1"/>
        <w:spacing w:line="480" w:lineRule="atLeast"/>
        <w:jc w:val="center"/>
        <w:rPr>
          <w:rFonts w:hint="eastAsia" w:ascii="方正小标宋简体" w:hAnsi="΢   ź" w:eastAsia="方正小标宋简体" w:cs="宋体"/>
          <w:b/>
          <w:bCs/>
          <w:kern w:val="0"/>
          <w:sz w:val="36"/>
          <w:szCs w:val="36"/>
        </w:rPr>
      </w:pPr>
      <w:r>
        <w:rPr>
          <w:rFonts w:hint="eastAsia" w:ascii="方正小标宋简体" w:hAnsi="΢���ź�" w:eastAsia="方正小标宋简体" w:cs="宋体"/>
          <w:b w:val="0"/>
          <w:bCs w:val="0"/>
          <w:kern w:val="0"/>
          <w:sz w:val="36"/>
          <w:szCs w:val="36"/>
        </w:rPr>
        <w:t>关于印发《吉林大学公务用车配置和使用管理规定（暂行）》的通知</w:t>
      </w:r>
    </w:p>
    <w:p>
      <w:pPr>
        <w:widowControl/>
        <w:shd w:val="clear" w:color="auto" w:fill="FFFFFF"/>
        <w:spacing w:line="450" w:lineRule="atLeast"/>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bookmarkEnd w:id="0"/>
    <w:bookmarkEnd w:id="1"/>
    <w:p>
      <w:pPr>
        <w:widowControl/>
        <w:shd w:val="clear" w:color="auto" w:fill="FFFFFF" w:themeFill="background1"/>
        <w:wordWrap w:val="0"/>
        <w:spacing w:line="450" w:lineRule="atLeast"/>
        <w:jc w:val="left"/>
        <w:rPr>
          <w:rFonts w:hint="eastAsia" w:ascii="仿宋_GB2312" w:hAnsi="宋体" w:eastAsia="仿宋_GB2312" w:cs="宋体"/>
          <w:color w:val="454545"/>
          <w:kern w:val="0"/>
        </w:rPr>
      </w:pPr>
      <w:r>
        <w:rPr>
          <w:rFonts w:hint="eastAsia" w:ascii="仿宋_GB2312" w:hAnsi="宋体" w:eastAsia="仿宋_GB2312" w:cs="宋体"/>
          <w:color w:val="454545"/>
          <w:kern w:val="0"/>
        </w:rPr>
        <w:t>校内各单位：</w:t>
      </w:r>
      <w:r>
        <w:rPr>
          <w:rFonts w:hint="eastAsia" w:ascii="仿宋_GB2312" w:hAnsi="宋体" w:eastAsia="仿宋_GB2312" w:cs="宋体"/>
          <w:color w:val="454545"/>
          <w:kern w:val="0"/>
        </w:rPr>
        <w:br w:type="textWrapping"/>
      </w:r>
      <w:r>
        <w:rPr>
          <w:rFonts w:hint="eastAsia" w:ascii="宋体" w:hAnsi="宋体" w:eastAsia="仿宋_GB2312" w:cs="宋体"/>
          <w:color w:val="454545"/>
          <w:kern w:val="0"/>
        </w:rPr>
        <w:t>  </w:t>
      </w:r>
      <w:r>
        <w:rPr>
          <w:rFonts w:hint="eastAsia" w:ascii="仿宋_GB2312" w:hAnsi="宋体" w:eastAsia="仿宋_GB2312" w:cs="宋体"/>
          <w:color w:val="454545"/>
          <w:kern w:val="0"/>
        </w:rPr>
        <w:t>《</w:t>
      </w:r>
      <w:r>
        <w:rPr>
          <w:rFonts w:hint="eastAsia" w:ascii="仿宋_GB2312" w:hAnsi="΢���ź�" w:eastAsia="仿宋_GB2312" w:cs="宋体"/>
          <w:bCs/>
          <w:kern w:val="0"/>
        </w:rPr>
        <w:t>吉林大学公务用车配置和使用管理规定（暂行）</w:t>
      </w:r>
      <w:r>
        <w:rPr>
          <w:rFonts w:hint="eastAsia" w:ascii="仿宋_GB2312" w:hAnsi="宋体" w:eastAsia="仿宋_GB2312" w:cs="宋体"/>
          <w:color w:val="454545"/>
          <w:kern w:val="0"/>
        </w:rPr>
        <w:t>》</w:t>
      </w:r>
      <w:r>
        <w:rPr>
          <w:rFonts w:hint="eastAsia" w:ascii="仿宋_GB2312" w:eastAsia="仿宋_GB2312" w:cs="Arial" w:hAnsiTheme="majorEastAsia"/>
          <w:color w:val="000000" w:themeColor="text1"/>
          <w:kern w:val="0"/>
        </w:rPr>
        <w:t>（校发</w:t>
      </w:r>
      <w:r>
        <w:rPr>
          <w:rFonts w:hint="eastAsia" w:ascii="仿宋_GB2312" w:eastAsia="仿宋_GB2312" w:cs="Arial" w:hAnsiTheme="majorEastAsia"/>
          <w:color w:val="000000" w:themeColor="text1"/>
          <w:spacing w:val="-9"/>
        </w:rPr>
        <w:t>〔2018〕</w:t>
      </w:r>
      <w:r>
        <w:rPr>
          <w:rFonts w:hint="eastAsia" w:ascii="仿宋_GB2312" w:eastAsia="仿宋_GB2312" w:cs="Arial" w:hAnsiTheme="majorEastAsia"/>
          <w:color w:val="000000" w:themeColor="text1"/>
          <w:kern w:val="0"/>
        </w:rPr>
        <w:t>383号）</w:t>
      </w:r>
      <w:r>
        <w:rPr>
          <w:rFonts w:hint="eastAsia" w:ascii="仿宋_GB2312" w:hAnsi="宋体" w:eastAsia="仿宋_GB2312" w:cs="宋体"/>
          <w:color w:val="454545"/>
          <w:kern w:val="0"/>
        </w:rPr>
        <w:t>经2018年7月15日第十四次校长办公会议讨论通过，现予以印发，请遵照执行。</w:t>
      </w:r>
    </w:p>
    <w:p>
      <w:pPr>
        <w:widowControl/>
        <w:shd w:val="clear" w:color="auto" w:fill="FFFFFF" w:themeFill="background1"/>
        <w:wordWrap w:val="0"/>
        <w:spacing w:line="450" w:lineRule="atLeast"/>
        <w:jc w:val="left"/>
        <w:rPr>
          <w:rFonts w:hint="eastAsia" w:ascii="仿宋_GB2312" w:hAnsi="宋体" w:eastAsia="仿宋_GB2312" w:cs="宋体"/>
          <w:color w:val="454545"/>
          <w:kern w:val="0"/>
        </w:rPr>
      </w:pPr>
    </w:p>
    <w:p>
      <w:pPr>
        <w:widowControl/>
        <w:shd w:val="clear" w:color="auto" w:fill="FFFFFF" w:themeFill="background1"/>
        <w:wordWrap w:val="0"/>
        <w:spacing w:line="450" w:lineRule="atLeast"/>
        <w:ind w:firstLine="632" w:firstLineChars="200"/>
        <w:jc w:val="left"/>
        <w:rPr>
          <w:rFonts w:hint="eastAsia" w:ascii="仿宋_GB2312" w:hAnsi="宋体" w:eastAsia="仿宋_GB2312" w:cs="宋体"/>
          <w:color w:val="454545"/>
          <w:kern w:val="0"/>
        </w:rPr>
      </w:pPr>
      <w:r>
        <w:rPr>
          <w:rFonts w:hint="eastAsia" w:ascii="仿宋_GB2312" w:hAnsi="宋体" w:eastAsia="仿宋_GB2312" w:cs="宋体"/>
          <w:color w:val="454545"/>
          <w:kern w:val="0"/>
        </w:rPr>
        <w:t>附件：《</w:t>
      </w:r>
      <w:r>
        <w:rPr>
          <w:rFonts w:hint="eastAsia" w:ascii="仿宋_GB2312" w:hAnsi="΢���ź�" w:eastAsia="仿宋_GB2312" w:cs="宋体"/>
          <w:bCs/>
          <w:kern w:val="0"/>
        </w:rPr>
        <w:t>吉林大学公务用车配置和使用管理规定（暂行）</w:t>
      </w:r>
      <w:r>
        <w:rPr>
          <w:rFonts w:hint="eastAsia" w:ascii="仿宋_GB2312" w:hAnsi="宋体" w:eastAsia="仿宋_GB2312" w:cs="宋体"/>
          <w:color w:val="454545"/>
          <w:kern w:val="0"/>
        </w:rPr>
        <w:t>》</w:t>
      </w:r>
      <w:r>
        <w:rPr>
          <w:rFonts w:hint="eastAsia" w:ascii="仿宋_GB2312" w:hAnsi="宋体" w:eastAsia="仿宋_GB2312" w:cs="宋体"/>
          <w:color w:val="454545"/>
          <w:kern w:val="0"/>
        </w:rPr>
        <w:br w:type="textWrapping"/>
      </w:r>
      <w:r>
        <w:rPr>
          <w:rFonts w:hint="eastAsia" w:ascii="宋体" w:hAnsi="宋体" w:eastAsia="仿宋_GB2312" w:cs="宋体"/>
          <w:color w:val="454545"/>
          <w:kern w:val="0"/>
        </w:rPr>
        <w:t>                                  </w:t>
      </w:r>
      <w:r>
        <w:rPr>
          <w:rFonts w:hint="eastAsia" w:ascii="仿宋_GB2312" w:hAnsi="宋体" w:eastAsia="仿宋_GB2312" w:cs="宋体"/>
          <w:color w:val="454545"/>
          <w:kern w:val="0"/>
        </w:rPr>
        <w:t xml:space="preserve">  </w:t>
      </w:r>
      <w:r>
        <w:rPr>
          <w:rFonts w:hint="eastAsia" w:ascii="宋体" w:hAnsi="宋体" w:eastAsia="仿宋_GB2312" w:cs="宋体"/>
          <w:color w:val="454545"/>
          <w:kern w:val="0"/>
        </w:rPr>
        <w:t>         </w:t>
      </w:r>
      <w:r>
        <w:rPr>
          <w:rFonts w:hint="eastAsia" w:ascii="仿宋_GB2312" w:hAnsi="宋体" w:eastAsia="仿宋_GB2312" w:cs="宋体"/>
          <w:color w:val="454545"/>
          <w:kern w:val="0"/>
        </w:rPr>
        <w:t>吉 林 大 学</w:t>
      </w:r>
      <w:r>
        <w:rPr>
          <w:rFonts w:hint="eastAsia" w:ascii="仿宋_GB2312" w:hAnsi="宋体" w:eastAsia="仿宋_GB2312" w:cs="宋体"/>
          <w:color w:val="454545"/>
          <w:kern w:val="0"/>
        </w:rPr>
        <w:br w:type="textWrapping"/>
      </w:r>
      <w:r>
        <w:rPr>
          <w:rFonts w:hint="eastAsia" w:ascii="宋体" w:hAnsi="宋体" w:eastAsia="仿宋_GB2312" w:cs="宋体"/>
          <w:color w:val="454545"/>
          <w:kern w:val="0"/>
        </w:rPr>
        <w:t>             </w:t>
      </w:r>
      <w:r>
        <w:rPr>
          <w:rFonts w:hint="eastAsia" w:ascii="仿宋_GB2312" w:hAnsi="宋体" w:eastAsia="仿宋_GB2312" w:cs="宋体"/>
          <w:color w:val="454545"/>
          <w:kern w:val="0"/>
        </w:rPr>
        <w:t xml:space="preserve">    </w:t>
      </w:r>
      <w:r>
        <w:rPr>
          <w:rFonts w:hint="eastAsia" w:ascii="宋体" w:hAnsi="宋体" w:eastAsia="仿宋_GB2312" w:cs="宋体"/>
          <w:color w:val="454545"/>
          <w:kern w:val="0"/>
        </w:rPr>
        <w:t> </w:t>
      </w:r>
      <w:r>
        <w:rPr>
          <w:rFonts w:hint="eastAsia" w:ascii="仿宋_GB2312" w:hAnsi="宋体" w:eastAsia="仿宋_GB2312" w:cs="宋体"/>
          <w:color w:val="454545"/>
          <w:kern w:val="0"/>
        </w:rPr>
        <w:t>2018年8月28日</w:t>
      </w:r>
    </w:p>
    <w:p>
      <w:pPr>
        <w:widowControl/>
        <w:spacing w:line="560" w:lineRule="exact"/>
        <w:jc w:val="center"/>
        <w:rPr>
          <w:rFonts w:hint="eastAsia" w:ascii="方正小标宋简体" w:hAnsi="宋体" w:eastAsia="方正小标宋简体" w:cs="宋体"/>
          <w:bCs/>
          <w:color w:val="000000"/>
          <w:kern w:val="0"/>
          <w:sz w:val="36"/>
          <w:szCs w:val="36"/>
        </w:rPr>
      </w:pPr>
    </w:p>
    <w:p>
      <w:pPr>
        <w:widowControl/>
        <w:spacing w:line="560" w:lineRule="exact"/>
        <w:jc w:val="center"/>
        <w:rPr>
          <w:rFonts w:hint="eastAsia" w:ascii="方正小标宋简体" w:hAnsi="宋体" w:eastAsia="方正小标宋简体" w:cs="宋体"/>
          <w:bCs/>
          <w:color w:val="000000"/>
          <w:kern w:val="0"/>
          <w:sz w:val="36"/>
          <w:szCs w:val="36"/>
        </w:rPr>
      </w:pPr>
    </w:p>
    <w:p>
      <w:pPr>
        <w:shd w:val="clear" w:color="auto" w:fill="FFFFFF"/>
        <w:ind w:firstLine="495"/>
        <w:jc w:val="center"/>
        <w:rPr>
          <w:rFonts w:hint="eastAsia" w:ascii="方正小标宋简体" w:eastAsia="方正小标宋简体" w:cs="Arial" w:hAnsiTheme="minorEastAsia"/>
          <w:b w:val="0"/>
          <w:bCs w:val="0"/>
          <w:color w:val="000000"/>
          <w:sz w:val="36"/>
          <w:szCs w:val="36"/>
        </w:rPr>
      </w:pPr>
      <w:bookmarkStart w:id="3" w:name="_GoBack"/>
      <w:bookmarkStart w:id="2" w:name="_Toc465784790"/>
      <w:r>
        <w:rPr>
          <w:rFonts w:hint="eastAsia" w:ascii="方正小标宋简体" w:eastAsia="方正小标宋简体" w:cs="Arial" w:hAnsiTheme="minorEastAsia"/>
          <w:b w:val="0"/>
          <w:bCs w:val="0"/>
          <w:color w:val="000000"/>
          <w:sz w:val="36"/>
          <w:szCs w:val="36"/>
        </w:rPr>
        <w:t>吉林大学公务用车配置和使用管理规定</w:t>
      </w:r>
      <w:bookmarkEnd w:id="2"/>
    </w:p>
    <w:p>
      <w:pPr>
        <w:shd w:val="clear" w:color="auto" w:fill="FFFFFF"/>
        <w:ind w:firstLine="495"/>
        <w:jc w:val="center"/>
        <w:rPr>
          <w:rFonts w:hint="eastAsia" w:ascii="方正小标宋简体" w:eastAsia="方正小标宋简体" w:cs="Arial" w:hAnsiTheme="minorEastAsia"/>
          <w:b/>
          <w:bCs/>
          <w:color w:val="000000"/>
          <w:sz w:val="36"/>
          <w:szCs w:val="36"/>
        </w:rPr>
      </w:pPr>
      <w:r>
        <w:rPr>
          <w:rFonts w:hint="eastAsia" w:ascii="方正小标宋简体" w:eastAsia="方正小标宋简体" w:cs="Arial" w:hAnsiTheme="minorEastAsia"/>
          <w:b w:val="0"/>
          <w:bCs w:val="0"/>
          <w:color w:val="000000"/>
          <w:sz w:val="36"/>
          <w:szCs w:val="36"/>
        </w:rPr>
        <w:t>（暂行）</w:t>
      </w:r>
      <w:bookmarkEnd w:id="3"/>
    </w:p>
    <w:p>
      <w:pPr>
        <w:shd w:val="clear" w:color="auto" w:fill="FFFFFF"/>
        <w:ind w:firstLine="495"/>
        <w:jc w:val="center"/>
        <w:rPr>
          <w:rFonts w:hint="eastAsia" w:ascii="方正小标宋简体" w:eastAsia="方正小标宋简体" w:cs="Arial" w:hAnsiTheme="minorEastAsia"/>
          <w:color w:val="5C5C5C"/>
          <w:sz w:val="36"/>
          <w:szCs w:val="36"/>
        </w:rPr>
      </w:pPr>
    </w:p>
    <w:p>
      <w:pPr>
        <w:shd w:val="clear" w:color="auto" w:fill="FFFFFF"/>
        <w:jc w:val="center"/>
        <w:rPr>
          <w:rFonts w:hint="eastAsia" w:ascii="仿宋_GB2312" w:hAnsi="黑体" w:eastAsia="仿宋_GB2312" w:cs="Arial"/>
          <w:color w:val="5C5C5C"/>
        </w:rPr>
      </w:pPr>
      <w:r>
        <w:rPr>
          <w:rFonts w:hint="eastAsia" w:ascii="仿宋_GB2312" w:hAnsi="黑体" w:eastAsia="仿宋_GB2312" w:cs="Arial"/>
          <w:b/>
          <w:bCs/>
          <w:color w:val="000000"/>
        </w:rPr>
        <w:t>第一章</w:t>
      </w:r>
      <w:r>
        <w:rPr>
          <w:rFonts w:hint="eastAsia" w:ascii="宋体" w:hAnsi="宋体" w:eastAsia="仿宋_GB2312" w:cs="宋体"/>
          <w:b/>
          <w:bCs/>
          <w:color w:val="000000"/>
        </w:rPr>
        <w:t> </w:t>
      </w:r>
      <w:r>
        <w:rPr>
          <w:rFonts w:hint="eastAsia" w:ascii="仿宋_GB2312" w:hAnsi="黑体" w:eastAsia="仿宋_GB2312" w:cs="Arial"/>
          <w:b/>
          <w:bCs/>
          <w:color w:val="000000"/>
        </w:rPr>
        <w:t xml:space="preserve"> 总 则</w:t>
      </w:r>
    </w:p>
    <w:p>
      <w:pPr>
        <w:shd w:val="clear" w:color="auto" w:fill="FFFFFF"/>
        <w:ind w:firstLine="632" w:firstLineChars="200"/>
        <w:jc w:val="left"/>
        <w:rPr>
          <w:rFonts w:hint="eastAsia" w:ascii="仿宋_GB2312" w:hAnsi="仿宋" w:eastAsia="仿宋_GB2312" w:cs="Arial"/>
          <w:color w:val="5C5C5C"/>
        </w:rPr>
      </w:pPr>
      <w:r>
        <w:rPr>
          <w:rFonts w:hint="eastAsia" w:ascii="仿宋_GB2312" w:hAnsi="仿宋" w:eastAsia="仿宋_GB2312" w:cs="Arial"/>
          <w:b/>
          <w:bCs/>
          <w:color w:val="000000"/>
        </w:rPr>
        <w:t>第一条</w:t>
      </w:r>
      <w:r>
        <w:rPr>
          <w:rFonts w:hint="eastAsia" w:ascii="宋体" w:hAnsi="宋体" w:eastAsia="仿宋_GB2312" w:cs="宋体"/>
          <w:color w:val="000000"/>
        </w:rPr>
        <w:t> </w:t>
      </w:r>
      <w:r>
        <w:rPr>
          <w:rFonts w:hint="eastAsia" w:ascii="仿宋_GB2312" w:hAnsi="仿宋" w:eastAsia="仿宋_GB2312" w:cs="Arial"/>
          <w:color w:val="000000"/>
        </w:rPr>
        <w:t>为规范学校公务用车管理，根据中共中央国务院《党政机关厉行节约反对浪费条例》、中共中央办公厅国务院办公厅《党政机关公务用车配置使用管理办法》、财政部《党政机关公务用车预算决算管理办法》、《教育部直属高校和直属单位公务用车制度改革实施方案》等文件精神，结合学校实际情况，制定本规定。</w:t>
      </w:r>
    </w:p>
    <w:p>
      <w:pPr>
        <w:shd w:val="clear" w:color="auto" w:fill="FFFFFF"/>
        <w:ind w:firstLine="623" w:firstLineChars="197"/>
        <w:jc w:val="left"/>
        <w:rPr>
          <w:rFonts w:hint="eastAsia" w:ascii="仿宋_GB2312" w:hAnsi="宋体" w:eastAsia="仿宋_GB2312" w:cs="宋体"/>
          <w:color w:val="000000"/>
        </w:rPr>
      </w:pPr>
      <w:r>
        <w:rPr>
          <w:rFonts w:hint="eastAsia" w:ascii="仿宋_GB2312" w:hAnsi="仿宋" w:eastAsia="仿宋_GB2312" w:cs="Arial"/>
          <w:b/>
          <w:bCs/>
          <w:color w:val="000000"/>
        </w:rPr>
        <w:t>第二条</w:t>
      </w:r>
      <w:r>
        <w:rPr>
          <w:rFonts w:hint="eastAsia" w:ascii="宋体" w:hAnsi="宋体" w:eastAsia="仿宋_GB2312" w:cs="宋体"/>
          <w:color w:val="000000"/>
        </w:rPr>
        <w:t> </w:t>
      </w:r>
      <w:r>
        <w:rPr>
          <w:rFonts w:hint="eastAsia" w:ascii="仿宋_GB2312" w:hAnsi="宋体" w:eastAsia="仿宋_GB2312" w:cs="宋体"/>
          <w:color w:val="000000"/>
        </w:rPr>
        <w:t>本规定所称公务用车是学校用于机要通信、应急处置、警卫巡逻、环卫清洁、异地通勤、医疗救护、新闻转播、教学实验实习、科学考察、技术勘察、检疫检验、离退休干部、高层次人才等必要的专业性、业务性用车。</w:t>
      </w:r>
    </w:p>
    <w:p>
      <w:pPr>
        <w:shd w:val="clear" w:color="auto" w:fill="FFFFFF"/>
        <w:ind w:firstLine="617" w:firstLineChars="195"/>
        <w:jc w:val="left"/>
        <w:rPr>
          <w:rFonts w:hint="eastAsia" w:ascii="仿宋_GB2312" w:hAnsi="仿宋" w:eastAsia="仿宋_GB2312" w:cs="Arial"/>
          <w:color w:val="5C5C5C"/>
        </w:rPr>
      </w:pPr>
      <w:r>
        <w:rPr>
          <w:rFonts w:hint="eastAsia" w:ascii="仿宋_GB2312" w:hAnsi="仿宋" w:eastAsia="仿宋_GB2312" w:cs="Arial"/>
          <w:b/>
          <w:bCs/>
          <w:color w:val="000000"/>
        </w:rPr>
        <w:t>第三条</w:t>
      </w:r>
      <w:r>
        <w:rPr>
          <w:rFonts w:hint="eastAsia" w:ascii="宋体" w:hAnsi="宋体" w:eastAsia="仿宋_GB2312" w:cs="宋体"/>
          <w:color w:val="000000"/>
        </w:rPr>
        <w:t> </w:t>
      </w:r>
      <w:r>
        <w:rPr>
          <w:rFonts w:hint="eastAsia" w:ascii="仿宋_GB2312" w:hAnsi="宋体" w:eastAsia="仿宋_GB2312" w:cs="宋体"/>
          <w:color w:val="000000"/>
        </w:rPr>
        <w:t>本规定所称</w:t>
      </w:r>
      <w:r>
        <w:rPr>
          <w:rFonts w:hint="eastAsia" w:ascii="仿宋_GB2312" w:hAnsi="仿宋" w:eastAsia="仿宋_GB2312" w:cs="Arial"/>
          <w:color w:val="000000"/>
        </w:rPr>
        <w:t>公务用车经费是指学校列入教育事业费预算的公务用车购置及运行维护经费，科研业务活动发生的相关支出按科研经费有关管理办法执行。</w:t>
      </w:r>
    </w:p>
    <w:p>
      <w:pPr>
        <w:shd w:val="clear" w:color="auto" w:fill="FFFFFF"/>
        <w:ind w:firstLine="617" w:firstLineChars="195"/>
        <w:jc w:val="left"/>
        <w:rPr>
          <w:rFonts w:hint="eastAsia" w:ascii="仿宋_GB2312" w:hAnsi="仿宋" w:eastAsia="仿宋_GB2312" w:cs="Arial"/>
          <w:color w:val="5C5C5C"/>
        </w:rPr>
      </w:pPr>
      <w:r>
        <w:rPr>
          <w:rFonts w:hint="eastAsia" w:ascii="仿宋_GB2312" w:hAnsi="仿宋" w:eastAsia="仿宋_GB2312" w:cs="Arial"/>
          <w:b/>
          <w:bCs/>
          <w:color w:val="000000"/>
        </w:rPr>
        <w:t>第四条</w:t>
      </w:r>
      <w:r>
        <w:rPr>
          <w:rFonts w:hint="eastAsia" w:ascii="宋体" w:hAnsi="宋体" w:eastAsia="仿宋_GB2312" w:cs="宋体"/>
          <w:color w:val="000000"/>
        </w:rPr>
        <w:t> </w:t>
      </w:r>
      <w:r>
        <w:rPr>
          <w:rFonts w:hint="eastAsia" w:ascii="仿宋_GB2312" w:hAnsi="仿宋" w:eastAsia="仿宋_GB2312" w:cs="Arial"/>
          <w:color w:val="000000"/>
        </w:rPr>
        <w:t>本规定适用于学校党政机关各部处、学院、直属单位及校内独立核算非法人单位等部门；学校全资及控股单位可参照执行，需按照国家和学校规定制定公务用车管理办法，报资产管理与后勤处备案。</w:t>
      </w:r>
    </w:p>
    <w:p>
      <w:pPr>
        <w:shd w:val="clear" w:color="auto" w:fill="FFFFFF"/>
        <w:jc w:val="center"/>
        <w:rPr>
          <w:rFonts w:hint="eastAsia" w:ascii="仿宋_GB2312" w:hAnsi="黑体" w:eastAsia="仿宋_GB2312" w:cs="Arial"/>
          <w:color w:val="5C5C5C"/>
        </w:rPr>
      </w:pPr>
      <w:r>
        <w:rPr>
          <w:rFonts w:hint="eastAsia" w:ascii="仿宋_GB2312" w:hAnsi="黑体" w:eastAsia="仿宋_GB2312" w:cs="Arial"/>
          <w:bCs/>
          <w:color w:val="000000"/>
        </w:rPr>
        <w:t>第二章</w:t>
      </w:r>
      <w:r>
        <w:rPr>
          <w:rFonts w:hint="eastAsia" w:ascii="宋体" w:hAnsi="宋体" w:eastAsia="仿宋_GB2312" w:cs="宋体"/>
          <w:bCs/>
          <w:color w:val="000000"/>
        </w:rPr>
        <w:t> </w:t>
      </w:r>
      <w:r>
        <w:rPr>
          <w:rFonts w:hint="eastAsia" w:ascii="仿宋_GB2312" w:hAnsi="黑体" w:eastAsia="仿宋_GB2312" w:cs="Arial"/>
          <w:bCs/>
          <w:color w:val="000000"/>
        </w:rPr>
        <w:t xml:space="preserve"> 公务用车管理体制</w:t>
      </w:r>
    </w:p>
    <w:p>
      <w:pPr>
        <w:shd w:val="clear" w:color="auto" w:fill="FFFFFF"/>
        <w:ind w:firstLine="617" w:firstLineChars="195"/>
        <w:jc w:val="left"/>
        <w:rPr>
          <w:rFonts w:hint="eastAsia" w:ascii="仿宋_GB2312" w:hAnsi="仿宋" w:eastAsia="仿宋_GB2312" w:cs="Arial"/>
          <w:color w:val="000000"/>
        </w:rPr>
      </w:pPr>
      <w:r>
        <w:rPr>
          <w:rFonts w:hint="eastAsia" w:ascii="仿宋_GB2312" w:hAnsi="仿宋" w:eastAsia="仿宋_GB2312" w:cs="Arial"/>
          <w:b/>
          <w:bCs/>
          <w:color w:val="000000"/>
        </w:rPr>
        <w:t>第五条</w:t>
      </w:r>
      <w:r>
        <w:rPr>
          <w:rFonts w:hint="eastAsia" w:ascii="宋体" w:hAnsi="宋体" w:eastAsia="仿宋_GB2312" w:cs="宋体"/>
          <w:color w:val="000000"/>
        </w:rPr>
        <w:t> </w:t>
      </w:r>
      <w:r>
        <w:rPr>
          <w:rFonts w:hint="eastAsia" w:ascii="仿宋_GB2312" w:hAnsi="宋体" w:eastAsia="仿宋_GB2312" w:cs="宋体"/>
          <w:color w:val="000000"/>
        </w:rPr>
        <w:t>学校</w:t>
      </w:r>
      <w:r>
        <w:rPr>
          <w:rFonts w:hint="eastAsia" w:ascii="仿宋_GB2312" w:hAnsi="仿宋" w:eastAsia="仿宋_GB2312" w:cs="Arial"/>
          <w:color w:val="000000"/>
        </w:rPr>
        <w:t>公务用车管理实行两级管理体制，资产管理与后勤处是学校公务用车的一级管理部门，负责对公务用车行使管理权。各公务用车使用单位是学校公务用车的二级管理单位，单位行政负责人对使用的公务用车实行责任管理。</w:t>
      </w:r>
    </w:p>
    <w:p>
      <w:pPr>
        <w:shd w:val="clear" w:color="auto" w:fill="FFFFFF"/>
        <w:jc w:val="center"/>
        <w:rPr>
          <w:rFonts w:hint="eastAsia" w:ascii="仿宋_GB2312" w:hAnsi="黑体" w:eastAsia="仿宋_GB2312" w:cs="Arial"/>
          <w:color w:val="5C5C5C"/>
        </w:rPr>
      </w:pPr>
      <w:r>
        <w:rPr>
          <w:rFonts w:hint="eastAsia" w:ascii="仿宋_GB2312" w:hAnsi="黑体" w:eastAsia="仿宋_GB2312" w:cs="Arial"/>
          <w:bCs/>
          <w:color w:val="000000"/>
        </w:rPr>
        <w:t>第三章</w:t>
      </w:r>
      <w:r>
        <w:rPr>
          <w:rFonts w:hint="eastAsia" w:ascii="宋体" w:hAnsi="宋体" w:eastAsia="仿宋_GB2312" w:cs="宋体"/>
          <w:bCs/>
          <w:color w:val="000000"/>
        </w:rPr>
        <w:t> </w:t>
      </w:r>
      <w:r>
        <w:rPr>
          <w:rFonts w:hint="eastAsia" w:ascii="仿宋_GB2312" w:hAnsi="黑体" w:eastAsia="仿宋_GB2312" w:cs="Arial"/>
          <w:bCs/>
          <w:color w:val="000000"/>
        </w:rPr>
        <w:t xml:space="preserve"> 公务用车的配置管理</w:t>
      </w:r>
    </w:p>
    <w:p>
      <w:pPr>
        <w:shd w:val="clear" w:color="auto" w:fill="FFFFFF"/>
        <w:ind w:firstLine="623" w:firstLineChars="197"/>
        <w:jc w:val="left"/>
        <w:rPr>
          <w:rFonts w:hint="eastAsia" w:ascii="仿宋_GB2312" w:hAnsi="仿宋" w:eastAsia="仿宋_GB2312" w:cs="Arial"/>
          <w:color w:val="000000"/>
        </w:rPr>
      </w:pPr>
      <w:r>
        <w:rPr>
          <w:rFonts w:hint="eastAsia" w:ascii="仿宋_GB2312" w:hAnsi="仿宋" w:eastAsia="仿宋_GB2312" w:cs="Arial"/>
          <w:b/>
          <w:bCs/>
          <w:color w:val="000000"/>
        </w:rPr>
        <w:t>第六条</w:t>
      </w:r>
      <w:r>
        <w:rPr>
          <w:rFonts w:hint="eastAsia" w:ascii="宋体" w:hAnsi="宋体" w:eastAsia="仿宋_GB2312" w:cs="宋体"/>
          <w:color w:val="000000"/>
        </w:rPr>
        <w:t> </w:t>
      </w:r>
      <w:r>
        <w:rPr>
          <w:rFonts w:hint="eastAsia" w:ascii="仿宋_GB2312" w:hAnsi="仿宋" w:eastAsia="仿宋_GB2312" w:cs="Arial"/>
          <w:color w:val="000000"/>
        </w:rPr>
        <w:t>学校取消一般公务用车，公务活动出行实行社会化，按照功能任务与车辆类型相匹配、从严从紧的原则，统一采购配备定向化保障公务用车。</w:t>
      </w:r>
    </w:p>
    <w:p>
      <w:pPr>
        <w:shd w:val="clear" w:color="auto" w:fill="FFFFFF"/>
        <w:ind w:firstLine="632" w:firstLineChars="200"/>
        <w:jc w:val="left"/>
        <w:rPr>
          <w:rFonts w:hint="eastAsia" w:ascii="仿宋_GB2312" w:hAnsi="楷体" w:eastAsia="仿宋_GB2312" w:cs="Arial"/>
          <w:color w:val="000000"/>
        </w:rPr>
      </w:pPr>
      <w:r>
        <w:rPr>
          <w:rFonts w:hint="eastAsia" w:ascii="仿宋_GB2312" w:hAnsi="仿宋" w:eastAsia="仿宋_GB2312" w:cs="Arial"/>
          <w:b/>
          <w:color w:val="000000"/>
        </w:rPr>
        <w:t xml:space="preserve">第七条 </w:t>
      </w:r>
      <w:r>
        <w:rPr>
          <w:rFonts w:hint="eastAsia" w:ascii="仿宋_GB2312" w:hAnsi="仿宋" w:eastAsia="仿宋_GB2312" w:cs="Arial"/>
          <w:color w:val="000000"/>
        </w:rPr>
        <w:t>学校公务用车配备应</w:t>
      </w:r>
      <w:r>
        <w:rPr>
          <w:rFonts w:hint="eastAsia" w:ascii="仿宋_GB2312" w:hAnsi="楷体" w:eastAsia="仿宋_GB2312" w:cs="Arial"/>
          <w:color w:val="000000"/>
        </w:rPr>
        <w:t>优先使用国产车、新能源车、低排量车型，实行统一标准：</w:t>
      </w:r>
    </w:p>
    <w:p>
      <w:pPr>
        <w:shd w:val="clear" w:color="auto" w:fill="FFFFFF"/>
        <w:ind w:firstLine="632" w:firstLineChars="200"/>
        <w:jc w:val="left"/>
        <w:rPr>
          <w:rFonts w:hint="eastAsia" w:ascii="仿宋_GB2312" w:hAnsi="楷体" w:eastAsia="仿宋_GB2312" w:cs="Arial"/>
          <w:color w:val="000000"/>
        </w:rPr>
      </w:pPr>
      <w:r>
        <w:rPr>
          <w:rFonts w:hint="eastAsia" w:ascii="仿宋_GB2312" w:hAnsi="楷体" w:eastAsia="仿宋_GB2312" w:cs="Arial"/>
          <w:color w:val="000000"/>
        </w:rPr>
        <w:t>（一）机要通信用车配备价格12万元以内、排气量1.6升（含）以下的轿车或者其他小型客车。</w:t>
      </w:r>
    </w:p>
    <w:p>
      <w:pPr>
        <w:shd w:val="clear" w:color="auto" w:fill="FFFFFF"/>
        <w:ind w:firstLine="632" w:firstLineChars="200"/>
        <w:jc w:val="left"/>
        <w:rPr>
          <w:rFonts w:hint="eastAsia" w:ascii="仿宋_GB2312" w:hAnsi="楷体" w:eastAsia="仿宋_GB2312" w:cs="Arial"/>
          <w:color w:val="000000"/>
        </w:rPr>
      </w:pPr>
      <w:r>
        <w:rPr>
          <w:rFonts w:hint="eastAsia" w:ascii="仿宋_GB2312" w:hAnsi="楷体" w:eastAsia="仿宋_GB2312" w:cs="Arial"/>
          <w:color w:val="000000"/>
        </w:rPr>
        <w:t>（二）应急保障用车和其他用车配备价格18万元以内、排气量1.8升（含）以下的轿车或者其他小型客车。确因情况特殊，可以适当配备价格25万元以内、排气量3.0升（含）以下的其他小型客车、中型客车或者价格45万元以内的大型客车。</w:t>
      </w:r>
    </w:p>
    <w:p>
      <w:pPr>
        <w:shd w:val="clear" w:color="auto" w:fill="FFFFFF"/>
        <w:ind w:firstLine="632" w:firstLineChars="200"/>
        <w:jc w:val="left"/>
        <w:rPr>
          <w:rFonts w:hint="eastAsia" w:ascii="仿宋_GB2312" w:hAnsi="楷体" w:eastAsia="仿宋_GB2312" w:cs="Arial"/>
          <w:color w:val="000000"/>
        </w:rPr>
      </w:pPr>
      <w:r>
        <w:rPr>
          <w:rFonts w:hint="eastAsia" w:ascii="仿宋_GB2312" w:hAnsi="楷体" w:eastAsia="仿宋_GB2312" w:cs="Arial"/>
          <w:color w:val="000000"/>
        </w:rPr>
        <w:t>（三）执法执勤用车配备价格12万元以内、排气量1.6升（含）以下的轿车或者其他小型客车，因工作需要可以配备价格18万元以内、排气量1.8升（含）以下的轿车或者其他小型客车。确因情况特殊，可以适当配备价格25万元以内、排气量3.0升（含）以下的其他小型客车、中型客车或者价格45万元以内的大型客车。</w:t>
      </w:r>
    </w:p>
    <w:p>
      <w:pPr>
        <w:shd w:val="clear" w:color="auto" w:fill="FFFFFF"/>
        <w:ind w:firstLine="632" w:firstLineChars="200"/>
        <w:jc w:val="left"/>
        <w:rPr>
          <w:rFonts w:hint="eastAsia" w:ascii="仿宋_GB2312" w:hAnsi="楷体" w:eastAsia="仿宋_GB2312" w:cs="Arial"/>
          <w:color w:val="000000"/>
        </w:rPr>
      </w:pPr>
      <w:r>
        <w:rPr>
          <w:rFonts w:hint="eastAsia" w:ascii="仿宋_GB2312" w:hAnsi="楷体" w:eastAsia="仿宋_GB2312" w:cs="Arial"/>
          <w:color w:val="000000"/>
        </w:rPr>
        <w:t>（四）特种专业技术用车配备标准由有关部门会同财务部门按照保障工作需要、厉行节约的原则确定。</w:t>
      </w:r>
    </w:p>
    <w:p>
      <w:pPr>
        <w:shd w:val="clear" w:color="auto" w:fill="FFFFFF"/>
        <w:ind w:firstLine="632" w:firstLineChars="200"/>
        <w:jc w:val="left"/>
        <w:rPr>
          <w:rFonts w:hint="eastAsia" w:ascii="仿宋_GB2312" w:hAnsi="楷体" w:eastAsia="仿宋_GB2312" w:cs="Arial"/>
          <w:color w:val="000000"/>
        </w:rPr>
      </w:pPr>
      <w:r>
        <w:rPr>
          <w:rFonts w:hint="eastAsia" w:ascii="仿宋_GB2312" w:hAnsi="楷体" w:eastAsia="仿宋_GB2312" w:cs="Arial"/>
          <w:color w:val="000000"/>
        </w:rPr>
        <w:t>公务用车原则上不配备越野车，确因地理环境和工作性质特殊的，经学校批准后可以适当配备国产越野车。</w:t>
      </w:r>
    </w:p>
    <w:p>
      <w:pPr>
        <w:shd w:val="clear" w:color="auto" w:fill="FFFFFF"/>
        <w:ind w:firstLine="632" w:firstLineChars="200"/>
        <w:jc w:val="left"/>
        <w:rPr>
          <w:rFonts w:hint="eastAsia" w:ascii="仿宋_GB2312" w:hAnsi="楷体" w:eastAsia="仿宋_GB2312" w:cs="Arial"/>
          <w:color w:val="000000"/>
        </w:rPr>
      </w:pPr>
      <w:r>
        <w:rPr>
          <w:rFonts w:hint="eastAsia" w:ascii="仿宋_GB2312" w:hAnsi="楷体" w:eastAsia="仿宋_GB2312" w:cs="Arial"/>
          <w:color w:val="000000"/>
        </w:rPr>
        <w:t>上述配备标准应当根据公务保障需要、汽车行业技术发展、市场价格变化等因素适时调整。</w:t>
      </w:r>
    </w:p>
    <w:p>
      <w:pPr>
        <w:shd w:val="clear" w:color="auto" w:fill="FFFFFF"/>
        <w:ind w:firstLine="632" w:firstLineChars="200"/>
        <w:jc w:val="left"/>
        <w:rPr>
          <w:rFonts w:hint="eastAsia" w:ascii="仿宋_GB2312" w:hAnsi="仿宋" w:eastAsia="仿宋_GB2312" w:cs="Arial"/>
          <w:color w:val="000000"/>
        </w:rPr>
      </w:pPr>
      <w:r>
        <w:rPr>
          <w:rFonts w:hint="eastAsia" w:ascii="仿宋_GB2312" w:hAnsi="仿宋" w:eastAsia="仿宋_GB2312" w:cs="Arial"/>
          <w:b/>
          <w:color w:val="5C5C5C"/>
        </w:rPr>
        <w:t xml:space="preserve">第八条  </w:t>
      </w:r>
      <w:r>
        <w:rPr>
          <w:rFonts w:hint="eastAsia" w:ascii="仿宋_GB2312" w:hAnsi="宋体" w:eastAsia="仿宋_GB2312" w:cs="宋体"/>
          <w:color w:val="000000"/>
        </w:rPr>
        <w:t>学校各单位申请配置公务用车，需</w:t>
      </w:r>
      <w:r>
        <w:rPr>
          <w:rFonts w:hint="eastAsia" w:ascii="仿宋_GB2312" w:hAnsi="仿宋" w:eastAsia="仿宋_GB2312" w:cs="Arial"/>
          <w:color w:val="000000"/>
        </w:rPr>
        <w:t>根据实际工作需要提出公务用车配置书面申请并经主管校领导审核后提交资产管理与后勤处登记备案；资产管理与</w:t>
      </w:r>
      <w:r>
        <w:rPr>
          <w:rFonts w:hint="eastAsia" w:ascii="仿宋_GB2312" w:hAnsi="宋体" w:eastAsia="仿宋_GB2312" w:cs="宋体"/>
          <w:color w:val="000000"/>
        </w:rPr>
        <w:t>后勤处遵循公务用车配置原则</w:t>
      </w:r>
      <w:r>
        <w:rPr>
          <w:rFonts w:hint="eastAsia" w:ascii="仿宋_GB2312" w:hAnsi="仿宋" w:eastAsia="仿宋_GB2312" w:cs="Arial"/>
          <w:color w:val="000000"/>
        </w:rPr>
        <w:t>编制学校年度公务用车购置计划，经学校校长办公会或党委常委会审议，报上级主管部门审批后按照相关规定办理。</w:t>
      </w:r>
    </w:p>
    <w:p>
      <w:pPr>
        <w:shd w:val="clear" w:color="auto" w:fill="FFFFFF"/>
        <w:ind w:firstLine="623" w:firstLineChars="197"/>
        <w:jc w:val="left"/>
        <w:rPr>
          <w:rFonts w:hint="eastAsia" w:ascii="仿宋_GB2312" w:hAnsi="仿宋" w:eastAsia="仿宋_GB2312" w:cs="Arial"/>
          <w:color w:val="5C5C5C"/>
        </w:rPr>
      </w:pPr>
      <w:r>
        <w:rPr>
          <w:rFonts w:hint="eastAsia" w:ascii="仿宋_GB2312" w:hAnsi="仿宋" w:eastAsia="仿宋_GB2312" w:cs="Arial"/>
          <w:b/>
          <w:color w:val="000000"/>
        </w:rPr>
        <w:t>第九条</w:t>
      </w:r>
      <w:r>
        <w:rPr>
          <w:rFonts w:hint="eastAsia" w:ascii="仿宋_GB2312" w:hAnsi="仿宋" w:eastAsia="仿宋_GB2312" w:cs="宋体"/>
        </w:rPr>
        <w:t xml:space="preserve">  学校任何单位不得以各种名义无偿或有偿借用、占用下属单位或其他单位和个人的车辆，未经学校批准不得私自接受企事业单位或个人捐赠的车辆。</w:t>
      </w:r>
    </w:p>
    <w:p>
      <w:pPr>
        <w:shd w:val="clear" w:color="auto" w:fill="FFFFFF"/>
        <w:jc w:val="center"/>
        <w:rPr>
          <w:rFonts w:hint="eastAsia" w:ascii="仿宋_GB2312" w:hAnsi="黑体" w:eastAsia="仿宋_GB2312" w:cs="Arial"/>
          <w:color w:val="5C5C5C"/>
        </w:rPr>
      </w:pPr>
      <w:r>
        <w:rPr>
          <w:rFonts w:hint="eastAsia" w:ascii="仿宋_GB2312" w:hAnsi="黑体" w:eastAsia="仿宋_GB2312" w:cs="Arial"/>
          <w:bCs/>
          <w:color w:val="000000"/>
        </w:rPr>
        <w:t>第四章</w:t>
      </w:r>
      <w:r>
        <w:rPr>
          <w:rFonts w:hint="eastAsia" w:ascii="宋体" w:hAnsi="宋体" w:eastAsia="仿宋_GB2312" w:cs="宋体"/>
          <w:bCs/>
          <w:color w:val="000000"/>
        </w:rPr>
        <w:t> </w:t>
      </w:r>
      <w:r>
        <w:rPr>
          <w:rFonts w:hint="eastAsia" w:ascii="仿宋_GB2312" w:hAnsi="黑体" w:eastAsia="仿宋_GB2312" w:cs="Arial"/>
          <w:bCs/>
          <w:color w:val="000000"/>
        </w:rPr>
        <w:t xml:space="preserve"> 公务用车的经费管理</w:t>
      </w:r>
    </w:p>
    <w:p>
      <w:pPr>
        <w:pStyle w:val="3"/>
        <w:ind w:firstLine="632" w:firstLineChars="200"/>
        <w:rPr>
          <w:rFonts w:hint="eastAsia" w:ascii="仿宋_GB2312" w:hAnsi="仿宋" w:eastAsia="仿宋_GB2312" w:cs="Arial"/>
          <w:color w:val="5C5C5C"/>
          <w:lang w:eastAsia="zh-CN"/>
        </w:rPr>
      </w:pPr>
      <w:r>
        <w:rPr>
          <w:rFonts w:hint="eastAsia" w:ascii="仿宋_GB2312" w:hAnsi="仿宋" w:eastAsia="仿宋_GB2312" w:cs="Arial"/>
          <w:b/>
          <w:bCs/>
          <w:color w:val="000000"/>
          <w:lang w:eastAsia="zh-CN"/>
        </w:rPr>
        <w:t>第十条</w:t>
      </w:r>
      <w:r>
        <w:rPr>
          <w:rFonts w:hint="eastAsia" w:ascii="宋体" w:hAnsi="宋体" w:eastAsia="仿宋_GB2312" w:cs="宋体"/>
          <w:color w:val="000000"/>
          <w:lang w:eastAsia="zh-CN"/>
        </w:rPr>
        <w:t> </w:t>
      </w:r>
      <w:r>
        <w:rPr>
          <w:rFonts w:hint="eastAsia" w:ascii="仿宋_GB2312" w:hAnsi="仿宋" w:eastAsia="仿宋_GB2312" w:cs="Arial"/>
          <w:color w:val="000000"/>
          <w:lang w:eastAsia="zh-CN"/>
        </w:rPr>
        <w:t>公务用车单位应遵循预算管理和配置管理相结合的原则，严禁超预算或无预算安排公务用车支出。</w:t>
      </w:r>
    </w:p>
    <w:p>
      <w:pPr>
        <w:shd w:val="clear" w:color="auto" w:fill="FFFFFF"/>
        <w:ind w:firstLine="623" w:firstLineChars="197"/>
        <w:jc w:val="left"/>
        <w:rPr>
          <w:rFonts w:hint="eastAsia" w:ascii="仿宋_GB2312" w:hAnsi="仿宋" w:eastAsia="仿宋_GB2312" w:cs="Arial"/>
          <w:color w:val="000000"/>
        </w:rPr>
      </w:pPr>
      <w:r>
        <w:rPr>
          <w:rFonts w:hint="eastAsia" w:ascii="仿宋_GB2312" w:hAnsi="仿宋" w:eastAsia="仿宋_GB2312" w:cs="Arial"/>
          <w:b/>
          <w:bCs/>
          <w:color w:val="000000"/>
        </w:rPr>
        <w:t>第十一条</w:t>
      </w:r>
      <w:r>
        <w:rPr>
          <w:rFonts w:hint="eastAsia" w:ascii="宋体" w:hAnsi="宋体" w:eastAsia="仿宋_GB2312" w:cs="宋体"/>
          <w:color w:val="000000"/>
        </w:rPr>
        <w:t> </w:t>
      </w:r>
      <w:r>
        <w:rPr>
          <w:rFonts w:hint="eastAsia" w:ascii="仿宋_GB2312" w:hAnsi="仿宋" w:eastAsia="仿宋_GB2312" w:cs="Arial"/>
          <w:color w:val="000000"/>
        </w:rPr>
        <w:t>公务用车应统一购置经费，由资产管理与后勤处根据上级主管部门批复的年度公务用车购置计划申报预算，实行集中采购。</w:t>
      </w:r>
    </w:p>
    <w:p>
      <w:pPr>
        <w:shd w:val="clear" w:color="auto" w:fill="FFFFFF"/>
        <w:ind w:firstLine="623" w:firstLineChars="197"/>
        <w:jc w:val="left"/>
        <w:rPr>
          <w:rFonts w:hint="eastAsia" w:ascii="仿宋_GB2312" w:hAnsi="仿宋" w:eastAsia="仿宋_GB2312" w:cs="Arial"/>
          <w:color w:val="000000"/>
        </w:rPr>
      </w:pPr>
      <w:r>
        <w:rPr>
          <w:rFonts w:hint="eastAsia" w:ascii="仿宋_GB2312" w:hAnsi="仿宋" w:eastAsia="仿宋_GB2312" w:cs="Arial"/>
          <w:b/>
          <w:bCs/>
          <w:color w:val="000000"/>
        </w:rPr>
        <w:t>第十二条</w:t>
      </w:r>
      <w:r>
        <w:rPr>
          <w:rFonts w:hint="eastAsia" w:ascii="宋体" w:hAnsi="宋体" w:eastAsia="仿宋_GB2312" w:cs="宋体"/>
          <w:color w:val="000000"/>
        </w:rPr>
        <w:t> </w:t>
      </w:r>
      <w:r>
        <w:rPr>
          <w:rFonts w:hint="eastAsia" w:ascii="仿宋_GB2312" w:hAnsi="宋体" w:eastAsia="仿宋_GB2312" w:cs="宋体"/>
          <w:color w:val="000000"/>
        </w:rPr>
        <w:t>公务用车的</w:t>
      </w:r>
      <w:r>
        <w:rPr>
          <w:rFonts w:hint="eastAsia" w:ascii="仿宋_GB2312" w:hAnsi="仿宋" w:eastAsia="仿宋_GB2312" w:cs="Arial"/>
          <w:color w:val="000000"/>
        </w:rPr>
        <w:t>燃料、维修、保险和其他费用实行统一预算管理。年度预算执行中不予追加，确因特殊情况确需追加的，需按学校财务部门相关规定履行报批程序。</w:t>
      </w:r>
    </w:p>
    <w:p>
      <w:pPr>
        <w:shd w:val="clear" w:color="auto" w:fill="FFFFFF"/>
        <w:ind w:firstLine="623" w:firstLineChars="197"/>
        <w:jc w:val="left"/>
        <w:rPr>
          <w:rFonts w:hint="eastAsia" w:ascii="仿宋_GB2312" w:hAnsi="仿宋" w:eastAsia="仿宋_GB2312" w:cs="Arial"/>
          <w:color w:val="5C5C5C"/>
        </w:rPr>
      </w:pPr>
      <w:r>
        <w:rPr>
          <w:rFonts w:hint="eastAsia" w:ascii="仿宋_GB2312" w:hAnsi="楷体" w:eastAsia="仿宋_GB2312" w:cs="Arial"/>
          <w:b/>
          <w:color w:val="000000"/>
        </w:rPr>
        <w:t>第十三条</w:t>
      </w:r>
      <w:r>
        <w:rPr>
          <w:rFonts w:hint="eastAsia" w:ascii="仿宋_GB2312" w:hAnsi="楷体" w:eastAsia="仿宋_GB2312" w:cs="Arial"/>
          <w:color w:val="000000"/>
        </w:rPr>
        <w:t xml:space="preserve"> 公务用车的基本维修、保险、燃油等所涉及的维修厂家、保险公司、加油站等实行统一集中采购，严格定点保险、定点维修、定点加油制度。</w:t>
      </w:r>
    </w:p>
    <w:p>
      <w:pPr>
        <w:shd w:val="clear" w:color="auto" w:fill="FFFFFF"/>
        <w:jc w:val="center"/>
        <w:rPr>
          <w:rFonts w:hint="eastAsia" w:ascii="仿宋_GB2312" w:hAnsi="黑体" w:eastAsia="仿宋_GB2312" w:cs="Arial"/>
          <w:color w:val="5C5C5C"/>
        </w:rPr>
      </w:pPr>
      <w:r>
        <w:rPr>
          <w:rFonts w:hint="eastAsia" w:ascii="仿宋_GB2312" w:hAnsi="黑体" w:eastAsia="仿宋_GB2312" w:cs="Arial"/>
          <w:bCs/>
          <w:color w:val="000000"/>
        </w:rPr>
        <w:t>第五章</w:t>
      </w:r>
      <w:r>
        <w:rPr>
          <w:rFonts w:hint="eastAsia" w:ascii="宋体" w:hAnsi="宋体" w:eastAsia="仿宋_GB2312" w:cs="宋体"/>
          <w:bCs/>
          <w:color w:val="000000"/>
        </w:rPr>
        <w:t> </w:t>
      </w:r>
      <w:r>
        <w:rPr>
          <w:rFonts w:hint="eastAsia" w:ascii="仿宋_GB2312" w:hAnsi="黑体" w:eastAsia="仿宋_GB2312" w:cs="Arial"/>
          <w:bCs/>
          <w:color w:val="000000"/>
        </w:rPr>
        <w:t xml:space="preserve"> 公务用车的使用管理</w:t>
      </w:r>
    </w:p>
    <w:p>
      <w:pPr>
        <w:shd w:val="clear" w:color="auto" w:fill="FFFFFF"/>
        <w:ind w:firstLine="623" w:firstLineChars="197"/>
        <w:jc w:val="left"/>
        <w:rPr>
          <w:rFonts w:hint="eastAsia" w:ascii="仿宋_GB2312" w:hAnsi="仿宋" w:eastAsia="仿宋_GB2312" w:cs="Arial"/>
          <w:color w:val="5C5C5C"/>
        </w:rPr>
      </w:pPr>
      <w:r>
        <w:rPr>
          <w:rFonts w:hint="eastAsia" w:ascii="仿宋_GB2312" w:hAnsi="仿宋" w:eastAsia="仿宋_GB2312" w:cs="Arial"/>
          <w:b/>
          <w:bCs/>
          <w:color w:val="000000"/>
        </w:rPr>
        <w:t>第十四条</w:t>
      </w:r>
      <w:r>
        <w:rPr>
          <w:rFonts w:hint="eastAsia" w:ascii="宋体" w:hAnsi="宋体" w:eastAsia="仿宋_GB2312" w:cs="宋体"/>
          <w:color w:val="000000"/>
        </w:rPr>
        <w:t> </w:t>
      </w:r>
      <w:r>
        <w:rPr>
          <w:rFonts w:hint="eastAsia" w:ascii="仿宋_GB2312" w:hAnsi="仿宋" w:eastAsia="仿宋_GB2312" w:cs="Arial"/>
          <w:color w:val="000000"/>
        </w:rPr>
        <w:t>为确保公务用车严格用于规定用途，降低公务用车使用和维修保养成本，各单位应严格执行以下规定：</w:t>
      </w:r>
    </w:p>
    <w:p>
      <w:pPr>
        <w:shd w:val="clear" w:color="auto" w:fill="FFFFFF"/>
        <w:ind w:firstLine="632" w:firstLineChars="200"/>
        <w:jc w:val="left"/>
        <w:rPr>
          <w:rFonts w:hint="eastAsia" w:ascii="仿宋_GB2312" w:hAnsi="仿宋" w:eastAsia="仿宋_GB2312" w:cs="Arial"/>
          <w:color w:val="5C5C5C"/>
        </w:rPr>
      </w:pPr>
      <w:r>
        <w:rPr>
          <w:rFonts w:hint="eastAsia" w:ascii="仿宋_GB2312" w:hAnsi="仿宋" w:eastAsia="仿宋_GB2312" w:cs="Arial"/>
          <w:color w:val="000000"/>
        </w:rPr>
        <w:t>（一）公务用车要实行集中管理，统一调度，严禁分散管理使用；</w:t>
      </w:r>
    </w:p>
    <w:p>
      <w:pPr>
        <w:shd w:val="clear" w:color="auto" w:fill="FFFFFF"/>
        <w:ind w:firstLine="632" w:firstLineChars="200"/>
        <w:jc w:val="left"/>
        <w:rPr>
          <w:rFonts w:hint="eastAsia" w:ascii="仿宋_GB2312" w:hAnsi="仿宋" w:eastAsia="仿宋_GB2312" w:cs="Arial"/>
          <w:color w:val="000000"/>
        </w:rPr>
      </w:pPr>
      <w:r>
        <w:rPr>
          <w:rFonts w:hint="eastAsia" w:ascii="仿宋_GB2312" w:hAnsi="仿宋" w:eastAsia="仿宋_GB2312" w:cs="Arial"/>
          <w:color w:val="000000"/>
        </w:rPr>
        <w:t>（二）公务用车要建立用车审批备案制度，单位负责人要加强对本单位人员使用公务用车的监管，驾驶员要自觉履行用车备案手续。</w:t>
      </w:r>
    </w:p>
    <w:p>
      <w:pPr>
        <w:shd w:val="clear" w:color="auto" w:fill="FFFFFF"/>
        <w:ind w:firstLine="632" w:firstLineChars="200"/>
        <w:jc w:val="left"/>
        <w:rPr>
          <w:rFonts w:hint="eastAsia" w:ascii="仿宋_GB2312" w:hAnsi="仿宋" w:eastAsia="仿宋_GB2312" w:cs="Arial"/>
          <w:color w:val="000000"/>
        </w:rPr>
      </w:pPr>
      <w:r>
        <w:rPr>
          <w:rFonts w:hint="eastAsia" w:ascii="仿宋_GB2312" w:hAnsi="仿宋" w:eastAsia="仿宋_GB2312" w:cs="Arial"/>
          <w:color w:val="000000"/>
        </w:rPr>
        <w:t>（三）公务用车要统一实行标识化管理，接受公众监督；</w:t>
      </w:r>
    </w:p>
    <w:p>
      <w:pPr>
        <w:shd w:val="clear" w:color="auto" w:fill="FFFFFF"/>
        <w:ind w:firstLine="632" w:firstLineChars="200"/>
        <w:jc w:val="left"/>
        <w:rPr>
          <w:rFonts w:hint="eastAsia" w:ascii="仿宋_GB2312" w:hAnsi="仿宋" w:eastAsia="仿宋_GB2312" w:cs="Arial"/>
          <w:color w:val="000000"/>
        </w:rPr>
      </w:pPr>
      <w:r>
        <w:rPr>
          <w:rFonts w:hint="eastAsia" w:ascii="仿宋_GB2312" w:hAnsi="仿宋" w:eastAsia="仿宋_GB2312" w:cs="Arial"/>
          <w:color w:val="000000"/>
        </w:rPr>
        <w:t>（四）公务用车要严格执行回单位停放制度，节假日期间除特殊工作需要外应当封存停驶；</w:t>
      </w:r>
    </w:p>
    <w:p>
      <w:pPr>
        <w:shd w:val="clear" w:color="auto" w:fill="FFFFFF"/>
        <w:ind w:firstLine="632" w:firstLineChars="200"/>
        <w:jc w:val="left"/>
        <w:rPr>
          <w:rFonts w:hint="eastAsia" w:ascii="仿宋_GB2312" w:hAnsi="仿宋" w:eastAsia="仿宋_GB2312" w:cs="Arial"/>
          <w:color w:val="000000"/>
        </w:rPr>
      </w:pPr>
      <w:r>
        <w:rPr>
          <w:rFonts w:hint="eastAsia" w:ascii="仿宋_GB2312" w:hAnsi="仿宋" w:eastAsia="仿宋_GB2312" w:cs="Arial"/>
          <w:color w:val="000000"/>
        </w:rPr>
        <w:t>（五）公务用车要严控运行成本，履行使用登记和公示制度，登记用车时间、事由、地点、里程、油耗、费用等信息；</w:t>
      </w:r>
    </w:p>
    <w:p>
      <w:pPr>
        <w:shd w:val="clear" w:color="auto" w:fill="FFFFFF"/>
        <w:ind w:firstLine="632" w:firstLineChars="200"/>
        <w:jc w:val="left"/>
        <w:rPr>
          <w:rFonts w:hint="eastAsia" w:ascii="仿宋_GB2312" w:hAnsi="仿宋" w:eastAsia="仿宋_GB2312" w:cs="Arial"/>
          <w:color w:val="000000"/>
        </w:rPr>
      </w:pPr>
      <w:r>
        <w:rPr>
          <w:rFonts w:hint="eastAsia" w:ascii="仿宋_GB2312" w:hAnsi="仿宋" w:eastAsia="仿宋_GB2312" w:cs="Arial"/>
          <w:color w:val="000000"/>
        </w:rPr>
        <w:t>（六）公务用车要实行单车核算制度，对车辆行驶里程、维修保养情况、各项费用支出进行核算，按年度考核运行成本。</w:t>
      </w:r>
    </w:p>
    <w:p>
      <w:pPr>
        <w:shd w:val="clear" w:color="auto" w:fill="FFFFFF"/>
        <w:ind w:firstLine="623" w:firstLineChars="197"/>
        <w:jc w:val="left"/>
        <w:rPr>
          <w:rFonts w:hint="eastAsia" w:ascii="仿宋_GB2312" w:hAnsi="仿宋" w:eastAsia="仿宋_GB2312" w:cs="Arial"/>
          <w:color w:val="5C5C5C"/>
        </w:rPr>
      </w:pPr>
      <w:r>
        <w:rPr>
          <w:rFonts w:hint="eastAsia" w:ascii="仿宋_GB2312" w:hAnsi="仿宋" w:eastAsia="仿宋_GB2312" w:cs="Arial"/>
          <w:b/>
          <w:bCs/>
          <w:color w:val="000000"/>
        </w:rPr>
        <w:t>第十五条</w:t>
      </w:r>
      <w:r>
        <w:rPr>
          <w:rFonts w:hint="eastAsia" w:ascii="宋体" w:hAnsi="宋体" w:eastAsia="仿宋_GB2312" w:cs="宋体"/>
          <w:color w:val="000000"/>
        </w:rPr>
        <w:t> </w:t>
      </w:r>
      <w:r>
        <w:rPr>
          <w:rFonts w:hint="eastAsia" w:ascii="仿宋_GB2312" w:hAnsi="宋体" w:eastAsia="仿宋_GB2312" w:cs="宋体"/>
          <w:color w:val="000000"/>
        </w:rPr>
        <w:t>严格杜绝</w:t>
      </w:r>
      <w:r>
        <w:rPr>
          <w:rFonts w:hint="eastAsia" w:ascii="仿宋_GB2312" w:hAnsi="仿宋" w:eastAsia="仿宋_GB2312" w:cs="Arial"/>
          <w:color w:val="000000"/>
        </w:rPr>
        <w:t>公车私用现象。严禁用公务用车学习驾驶技术；严禁以任何理由擅自驾驶公务用车；严禁将公务用车用于婚丧喜庆、探亲访友、度假休闲、接送亲友等非公务活动。</w:t>
      </w:r>
    </w:p>
    <w:p>
      <w:pPr>
        <w:shd w:val="clear" w:color="auto" w:fill="FFFFFF"/>
        <w:ind w:firstLine="623" w:firstLineChars="197"/>
        <w:jc w:val="left"/>
        <w:rPr>
          <w:rFonts w:hint="eastAsia" w:ascii="仿宋_GB2312" w:hAnsi="仿宋" w:eastAsia="仿宋_GB2312" w:cs="Arial"/>
          <w:color w:val="5C5C5C"/>
        </w:rPr>
      </w:pPr>
      <w:r>
        <w:rPr>
          <w:rFonts w:hint="eastAsia" w:ascii="仿宋_GB2312" w:hAnsi="仿宋" w:eastAsia="仿宋_GB2312" w:cs="Arial"/>
          <w:b/>
          <w:bCs/>
          <w:color w:val="000000"/>
        </w:rPr>
        <w:t>第十六条</w:t>
      </w:r>
      <w:r>
        <w:rPr>
          <w:rFonts w:hint="eastAsia" w:ascii="宋体" w:hAnsi="宋体" w:eastAsia="仿宋_GB2312" w:cs="宋体"/>
          <w:color w:val="000000"/>
        </w:rPr>
        <w:t> </w:t>
      </w:r>
      <w:r>
        <w:rPr>
          <w:rFonts w:hint="eastAsia" w:ascii="仿宋_GB2312" w:hAnsi="仿宋" w:eastAsia="仿宋_GB2312" w:cs="Arial"/>
          <w:color w:val="000000"/>
        </w:rPr>
        <w:t>公务用车管理单位不得向学校以外的单位和个人出租出借公务用车。</w:t>
      </w:r>
    </w:p>
    <w:p>
      <w:pPr>
        <w:shd w:val="clear" w:color="auto" w:fill="FFFFFF"/>
        <w:jc w:val="center"/>
        <w:rPr>
          <w:rFonts w:hint="eastAsia" w:ascii="仿宋_GB2312" w:hAnsi="黑体" w:eastAsia="仿宋_GB2312" w:cs="Arial"/>
          <w:color w:val="5C5C5C"/>
        </w:rPr>
      </w:pPr>
      <w:r>
        <w:rPr>
          <w:rFonts w:hint="eastAsia" w:ascii="仿宋_GB2312" w:hAnsi="黑体" w:eastAsia="仿宋_GB2312" w:cs="Arial"/>
          <w:bCs/>
          <w:color w:val="000000"/>
        </w:rPr>
        <w:t>第六章</w:t>
      </w:r>
      <w:r>
        <w:rPr>
          <w:rFonts w:hint="eastAsia" w:ascii="宋体" w:hAnsi="宋体" w:eastAsia="仿宋_GB2312" w:cs="宋体"/>
          <w:bCs/>
          <w:color w:val="000000"/>
        </w:rPr>
        <w:t> </w:t>
      </w:r>
      <w:r>
        <w:rPr>
          <w:rFonts w:hint="eastAsia" w:ascii="仿宋_GB2312" w:hAnsi="黑体" w:eastAsia="仿宋_GB2312" w:cs="Arial"/>
          <w:bCs/>
          <w:color w:val="000000"/>
        </w:rPr>
        <w:t xml:space="preserve"> 公务用车的监督管理</w:t>
      </w:r>
    </w:p>
    <w:p>
      <w:pPr>
        <w:shd w:val="clear" w:color="auto" w:fill="FFFFFF"/>
        <w:ind w:firstLine="623" w:firstLineChars="197"/>
        <w:jc w:val="left"/>
        <w:rPr>
          <w:rFonts w:hint="eastAsia" w:ascii="仿宋_GB2312" w:hAnsi="仿宋" w:eastAsia="仿宋_GB2312" w:cs="Arial"/>
          <w:color w:val="5C5C5C"/>
        </w:rPr>
      </w:pPr>
      <w:r>
        <w:rPr>
          <w:rFonts w:hint="eastAsia" w:ascii="仿宋_GB2312" w:hAnsi="仿宋" w:eastAsia="仿宋_GB2312" w:cs="Arial"/>
          <w:b/>
          <w:bCs/>
          <w:color w:val="000000"/>
        </w:rPr>
        <w:t>第十七条</w:t>
      </w:r>
      <w:r>
        <w:rPr>
          <w:rFonts w:hint="eastAsia" w:ascii="宋体" w:hAnsi="宋体" w:eastAsia="仿宋_GB2312" w:cs="宋体"/>
          <w:color w:val="000000"/>
        </w:rPr>
        <w:t> </w:t>
      </w:r>
      <w:r>
        <w:rPr>
          <w:rFonts w:hint="eastAsia" w:ascii="仿宋_GB2312" w:hAnsi="宋体" w:eastAsia="仿宋_GB2312" w:cs="宋体"/>
          <w:color w:val="000000"/>
        </w:rPr>
        <w:t>建立健全公务用车使用监督管理责任制，强化纪检、</w:t>
      </w:r>
      <w:r>
        <w:rPr>
          <w:rFonts w:hint="eastAsia" w:ascii="仿宋_GB2312" w:hAnsi="仿宋" w:eastAsia="仿宋_GB2312" w:cs="Arial"/>
          <w:color w:val="000000"/>
        </w:rPr>
        <w:t>监察、资产管理等部门协作联动监督检查，对违反公务用车管理规定的单位，学校将追究单位负责人及相关责任人的职责。</w:t>
      </w:r>
    </w:p>
    <w:p>
      <w:pPr>
        <w:shd w:val="clear" w:color="auto" w:fill="FFFFFF"/>
        <w:jc w:val="center"/>
        <w:rPr>
          <w:rFonts w:hint="eastAsia" w:ascii="仿宋_GB2312" w:hAnsi="黑体" w:eastAsia="仿宋_GB2312" w:cs="Arial"/>
          <w:color w:val="5C5C5C"/>
        </w:rPr>
      </w:pPr>
      <w:r>
        <w:rPr>
          <w:rFonts w:hint="eastAsia" w:ascii="仿宋_GB2312" w:hAnsi="黑体" w:eastAsia="仿宋_GB2312" w:cs="Arial"/>
          <w:bCs/>
          <w:color w:val="000000"/>
        </w:rPr>
        <w:t>第七章</w:t>
      </w:r>
      <w:r>
        <w:rPr>
          <w:rFonts w:hint="eastAsia" w:ascii="宋体" w:hAnsi="宋体" w:eastAsia="仿宋_GB2312" w:cs="宋体"/>
          <w:bCs/>
          <w:color w:val="000000"/>
        </w:rPr>
        <w:t> </w:t>
      </w:r>
      <w:r>
        <w:rPr>
          <w:rFonts w:hint="eastAsia" w:ascii="仿宋_GB2312" w:hAnsi="黑体" w:eastAsia="仿宋_GB2312" w:cs="Arial"/>
          <w:bCs/>
          <w:color w:val="000000"/>
        </w:rPr>
        <w:t xml:space="preserve"> 附 则</w:t>
      </w:r>
    </w:p>
    <w:p>
      <w:pPr>
        <w:shd w:val="clear" w:color="auto" w:fill="FFFFFF"/>
        <w:ind w:firstLine="623" w:firstLineChars="197"/>
        <w:jc w:val="left"/>
        <w:rPr>
          <w:rFonts w:hint="eastAsia" w:ascii="仿宋_GB2312" w:hAnsi="仿宋" w:eastAsia="仿宋_GB2312" w:cs="Arial"/>
          <w:color w:val="5C5C5C"/>
        </w:rPr>
      </w:pPr>
      <w:r>
        <w:rPr>
          <w:rFonts w:hint="eastAsia" w:ascii="仿宋_GB2312" w:hAnsi="仿宋" w:eastAsia="仿宋_GB2312" w:cs="Arial"/>
          <w:b/>
          <w:bCs/>
          <w:color w:val="000000"/>
        </w:rPr>
        <w:t>第十八条</w:t>
      </w:r>
      <w:r>
        <w:rPr>
          <w:rFonts w:hint="eastAsia" w:ascii="宋体" w:hAnsi="宋体" w:eastAsia="仿宋_GB2312" w:cs="宋体"/>
          <w:color w:val="000000"/>
        </w:rPr>
        <w:t> </w:t>
      </w:r>
      <w:r>
        <w:rPr>
          <w:rFonts w:hint="eastAsia" w:ascii="仿宋_GB2312" w:hAnsi="仿宋" w:eastAsia="仿宋_GB2312" w:cs="Arial"/>
          <w:color w:val="000000"/>
        </w:rPr>
        <w:t>本规定由资产管理与后勤处负责解释。</w:t>
      </w:r>
    </w:p>
    <w:p>
      <w:pPr>
        <w:shd w:val="clear" w:color="auto" w:fill="FFFFFF"/>
        <w:ind w:firstLine="623" w:firstLineChars="197"/>
        <w:jc w:val="left"/>
        <w:rPr>
          <w:rFonts w:hint="eastAsia" w:ascii="仿宋_GB2312" w:hAnsi="仿宋" w:eastAsia="仿宋_GB2312" w:cs="Arial"/>
          <w:color w:val="000000"/>
        </w:rPr>
      </w:pPr>
      <w:r>
        <w:rPr>
          <w:rFonts w:hint="eastAsia" w:ascii="仿宋_GB2312" w:hAnsi="仿宋" w:eastAsia="仿宋_GB2312" w:cs="Arial"/>
          <w:b/>
          <w:bCs/>
          <w:color w:val="000000"/>
        </w:rPr>
        <w:t>第十九条</w:t>
      </w:r>
      <w:r>
        <w:rPr>
          <w:rFonts w:hint="eastAsia" w:ascii="宋体" w:hAnsi="宋体" w:eastAsia="仿宋_GB2312" w:cs="宋体"/>
          <w:color w:val="000000"/>
        </w:rPr>
        <w:t> </w:t>
      </w:r>
      <w:r>
        <w:rPr>
          <w:rFonts w:hint="eastAsia" w:ascii="仿宋_GB2312" w:hAnsi="仿宋" w:eastAsia="仿宋_GB2312" w:cs="Arial"/>
          <w:color w:val="000000"/>
        </w:rPr>
        <w:t>本规定自2018年8月28日起施行，其他规定与本规定不一致的,以本规定为准。</w:t>
      </w:r>
    </w:p>
    <w:p>
      <w:pPr>
        <w:widowControl/>
        <w:spacing w:line="560" w:lineRule="exact"/>
        <w:jc w:val="center"/>
        <w:rPr>
          <w:rFonts w:hint="eastAsia" w:ascii="方正小标宋简体" w:hAnsi="宋体" w:eastAsia="方正小标宋简体" w:cs="宋体"/>
          <w:bCs/>
          <w:color w:val="000000"/>
          <w:kern w:val="0"/>
          <w:sz w:val="36"/>
          <w:szCs w:val="36"/>
        </w:rPr>
      </w:pPr>
    </w:p>
    <w:p>
      <w:pPr>
        <w:widowControl/>
        <w:jc w:val="center"/>
        <w:rPr>
          <w:rFonts w:hint="eastAsia" w:ascii="仿宋_GB2312" w:hAnsi="宋体" w:eastAsia="仿宋_GB2312" w:cs="宋体"/>
          <w:bCs/>
          <w:color w:val="000000"/>
          <w:kern w:val="0"/>
        </w:rPr>
      </w:pPr>
    </w:p>
    <w:sectPr>
      <w:headerReference r:id="rId3" w:type="default"/>
      <w:footerReference r:id="rId4" w:type="default"/>
      <w:footerReference r:id="rId5" w:type="even"/>
      <w:pgSz w:w="11906" w:h="16838"/>
      <w:pgMar w:top="1701" w:right="1531" w:bottom="1531" w:left="1531" w:header="851" w:footer="992" w:gutter="0"/>
      <w:pgNumType w:fmt="numberInDash"/>
      <w:cols w:space="720" w:num="1"/>
      <w:docGrid w:type="linesAndChars" w:linePitch="61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ź">
    <w:altName w:val="Times New Roman"/>
    <w:panose1 w:val="00000000000000000000"/>
    <w:charset w:val="00"/>
    <w:family w:val="roman"/>
    <w:pitch w:val="default"/>
    <w:sig w:usb0="00000000" w:usb1="00000000" w:usb2="00000000" w:usb3="00000000" w:csb0="00000000" w:csb1="00000000"/>
  </w:font>
  <w:font w:name="΢���ź�">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- 6 -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30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3B"/>
    <w:rsid w:val="0001210B"/>
    <w:rsid w:val="00026A7B"/>
    <w:rsid w:val="00080E24"/>
    <w:rsid w:val="000849E8"/>
    <w:rsid w:val="000851A4"/>
    <w:rsid w:val="0009624F"/>
    <w:rsid w:val="000D50CE"/>
    <w:rsid w:val="000F1D26"/>
    <w:rsid w:val="0010306A"/>
    <w:rsid w:val="00104A25"/>
    <w:rsid w:val="001063F8"/>
    <w:rsid w:val="00144375"/>
    <w:rsid w:val="00172648"/>
    <w:rsid w:val="001B3EE4"/>
    <w:rsid w:val="001C12FE"/>
    <w:rsid w:val="001C13E1"/>
    <w:rsid w:val="001E034E"/>
    <w:rsid w:val="00215B96"/>
    <w:rsid w:val="0022525E"/>
    <w:rsid w:val="00225A09"/>
    <w:rsid w:val="00237F9B"/>
    <w:rsid w:val="002710DA"/>
    <w:rsid w:val="00295E07"/>
    <w:rsid w:val="002C370B"/>
    <w:rsid w:val="002E4641"/>
    <w:rsid w:val="002F4A43"/>
    <w:rsid w:val="002F7126"/>
    <w:rsid w:val="00301438"/>
    <w:rsid w:val="00303189"/>
    <w:rsid w:val="003171E0"/>
    <w:rsid w:val="00332B2B"/>
    <w:rsid w:val="0034037C"/>
    <w:rsid w:val="003646AB"/>
    <w:rsid w:val="00396ED5"/>
    <w:rsid w:val="003C0F20"/>
    <w:rsid w:val="003C1951"/>
    <w:rsid w:val="003D10A2"/>
    <w:rsid w:val="003D5355"/>
    <w:rsid w:val="003E4D1E"/>
    <w:rsid w:val="00407605"/>
    <w:rsid w:val="004600CB"/>
    <w:rsid w:val="00467FE3"/>
    <w:rsid w:val="0048006B"/>
    <w:rsid w:val="004929D0"/>
    <w:rsid w:val="004C0F4F"/>
    <w:rsid w:val="004C697D"/>
    <w:rsid w:val="004D5A05"/>
    <w:rsid w:val="004D5C15"/>
    <w:rsid w:val="00532937"/>
    <w:rsid w:val="0057084F"/>
    <w:rsid w:val="005A486B"/>
    <w:rsid w:val="005C2BBC"/>
    <w:rsid w:val="005F2D5D"/>
    <w:rsid w:val="005F6AD4"/>
    <w:rsid w:val="00617F0C"/>
    <w:rsid w:val="00633376"/>
    <w:rsid w:val="006544E4"/>
    <w:rsid w:val="00657C99"/>
    <w:rsid w:val="006670D8"/>
    <w:rsid w:val="00691C40"/>
    <w:rsid w:val="00696C01"/>
    <w:rsid w:val="006B1ED6"/>
    <w:rsid w:val="006B30C4"/>
    <w:rsid w:val="006C2CBA"/>
    <w:rsid w:val="006C75CC"/>
    <w:rsid w:val="00703991"/>
    <w:rsid w:val="0070413B"/>
    <w:rsid w:val="00730B43"/>
    <w:rsid w:val="0073700B"/>
    <w:rsid w:val="00753045"/>
    <w:rsid w:val="0077427A"/>
    <w:rsid w:val="007D5C9D"/>
    <w:rsid w:val="007D7124"/>
    <w:rsid w:val="00814AD4"/>
    <w:rsid w:val="00836FF4"/>
    <w:rsid w:val="00852039"/>
    <w:rsid w:val="0086732E"/>
    <w:rsid w:val="008728E7"/>
    <w:rsid w:val="00883996"/>
    <w:rsid w:val="008929D1"/>
    <w:rsid w:val="008B0E9E"/>
    <w:rsid w:val="008E61C8"/>
    <w:rsid w:val="008F5319"/>
    <w:rsid w:val="008F5804"/>
    <w:rsid w:val="009054C3"/>
    <w:rsid w:val="009251B8"/>
    <w:rsid w:val="0099176C"/>
    <w:rsid w:val="00997FD9"/>
    <w:rsid w:val="009A1524"/>
    <w:rsid w:val="009B7E1F"/>
    <w:rsid w:val="009E06B0"/>
    <w:rsid w:val="00A16265"/>
    <w:rsid w:val="00A53A5C"/>
    <w:rsid w:val="00A7163F"/>
    <w:rsid w:val="00A80F1C"/>
    <w:rsid w:val="00AD3AA9"/>
    <w:rsid w:val="00AE1078"/>
    <w:rsid w:val="00AE5D6F"/>
    <w:rsid w:val="00B16089"/>
    <w:rsid w:val="00B16E8D"/>
    <w:rsid w:val="00B24806"/>
    <w:rsid w:val="00B31CAD"/>
    <w:rsid w:val="00B5580F"/>
    <w:rsid w:val="00B60DFE"/>
    <w:rsid w:val="00B620A2"/>
    <w:rsid w:val="00B74BAB"/>
    <w:rsid w:val="00B74BB7"/>
    <w:rsid w:val="00B836F4"/>
    <w:rsid w:val="00BA317F"/>
    <w:rsid w:val="00BA4EA0"/>
    <w:rsid w:val="00BD0F95"/>
    <w:rsid w:val="00BE6C4A"/>
    <w:rsid w:val="00C06AA9"/>
    <w:rsid w:val="00C77485"/>
    <w:rsid w:val="00C82764"/>
    <w:rsid w:val="00C944CA"/>
    <w:rsid w:val="00CA6555"/>
    <w:rsid w:val="00CB1A10"/>
    <w:rsid w:val="00D054D9"/>
    <w:rsid w:val="00D1076B"/>
    <w:rsid w:val="00D16207"/>
    <w:rsid w:val="00D37B0B"/>
    <w:rsid w:val="00D37F56"/>
    <w:rsid w:val="00DB6941"/>
    <w:rsid w:val="00DE673C"/>
    <w:rsid w:val="00E0560E"/>
    <w:rsid w:val="00E32A85"/>
    <w:rsid w:val="00E33546"/>
    <w:rsid w:val="00E44A03"/>
    <w:rsid w:val="00E458F3"/>
    <w:rsid w:val="00E61704"/>
    <w:rsid w:val="00E738D3"/>
    <w:rsid w:val="00E9025B"/>
    <w:rsid w:val="00ED4A32"/>
    <w:rsid w:val="00EE3FF0"/>
    <w:rsid w:val="00EE48CB"/>
    <w:rsid w:val="00EF56F5"/>
    <w:rsid w:val="00EF61D3"/>
    <w:rsid w:val="00F065B3"/>
    <w:rsid w:val="00F12F99"/>
    <w:rsid w:val="00F4303E"/>
    <w:rsid w:val="00F94648"/>
    <w:rsid w:val="00FC36CB"/>
    <w:rsid w:val="00FE7563"/>
    <w:rsid w:val="171707ED"/>
    <w:rsid w:val="26883C62"/>
    <w:rsid w:val="322A377C"/>
    <w:rsid w:val="3A06501F"/>
    <w:rsid w:val="58D428A5"/>
    <w:rsid w:val="5BDF0E25"/>
    <w:rsid w:val="5FD36534"/>
    <w:rsid w:val="7059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annotation subject"/>
    <w:basedOn w:val="3"/>
    <w:next w:val="3"/>
    <w:link w:val="12"/>
    <w:qFormat/>
    <w:uiPriority w:val="0"/>
    <w:rPr>
      <w:b/>
      <w:bCs/>
    </w:rPr>
  </w:style>
  <w:style w:type="paragraph" w:styleId="3">
    <w:name w:val="annotation text"/>
    <w:basedOn w:val="1"/>
    <w:link w:val="13"/>
    <w:qFormat/>
    <w:uiPriority w:val="99"/>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character" w:styleId="10">
    <w:name w:val="annotation reference"/>
    <w:uiPriority w:val="0"/>
    <w:rPr>
      <w:sz w:val="21"/>
      <w:szCs w:val="21"/>
    </w:rPr>
  </w:style>
  <w:style w:type="character" w:customStyle="1" w:styleId="12">
    <w:name w:val="批注主题 Char"/>
    <w:link w:val="2"/>
    <w:uiPriority w:val="0"/>
    <w:rPr>
      <w:b/>
      <w:bCs/>
      <w:kern w:val="2"/>
      <w:sz w:val="32"/>
      <w:szCs w:val="32"/>
    </w:rPr>
  </w:style>
  <w:style w:type="character" w:customStyle="1" w:styleId="13">
    <w:name w:val="批注文字 Char"/>
    <w:link w:val="3"/>
    <w:qFormat/>
    <w:uiPriority w:val="99"/>
    <w:rPr>
      <w:kern w:val="2"/>
      <w:sz w:val="32"/>
      <w:szCs w:val="32"/>
    </w:rPr>
  </w:style>
  <w:style w:type="character" w:customStyle="1" w:styleId="14">
    <w:name w:val="style21"/>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2259</Words>
  <Characters>219</Characters>
  <Lines>1</Lines>
  <Paragraphs>4</Paragraphs>
  <TotalTime>2</TotalTime>
  <ScaleCrop>false</ScaleCrop>
  <LinksUpToDate>false</LinksUpToDate>
  <CharactersWithSpaces>2474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2018-09-26T02:03:00Z</dcterms:created>
  <dc:creator>lenovo</dc:creator>
  <cp:lastModifiedBy>玫瑰味的鱼</cp:lastModifiedBy>
  <cp:lastPrinted>2018-09-25T07:45:00Z</cp:lastPrinted>
  <dcterms:modified xsi:type="dcterms:W3CDTF">2018-09-26T02:46:40Z</dcterms:modified>
  <dc:title>校发〔2014〕200号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