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吉林大学教学单位和独立科研机构公用房管理实施细则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firstLineChars="200"/>
        <w:jc w:val="left"/>
        <w:textAlignment w:val="baseline"/>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vertAlign w:val="baseline"/>
        </w:rPr>
        <w:t>为使学校公用房产有效合理地使用，保护学校公有财产和保障使用单位的合法权益，参照国家部委和地方政府有关文件精神、结合学校具体情况，特制定本实施细则。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baseline"/>
        <w:rPr>
          <w:rFonts w:hint="eastAsia" w:ascii="微软雅黑" w:hAnsi="微软雅黑" w:eastAsia="微软雅黑" w:cs="微软雅黑"/>
          <w:b w:val="0"/>
          <w:i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baseline"/>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vertAlign w:val="baseline"/>
        </w:rPr>
        <w:t>详情见附件：</w:t>
      </w:r>
      <w:r>
        <w:rPr>
          <w:rFonts w:hint="eastAsia" w:ascii="微软雅黑" w:hAnsi="微软雅黑" w:eastAsia="微软雅黑" w:cs="微软雅黑"/>
          <w:b w:val="0"/>
          <w:i w:val="0"/>
          <w:caps w:val="0"/>
          <w:color w:val="333333"/>
          <w:spacing w:val="0"/>
          <w:sz w:val="24"/>
          <w:szCs w:val="24"/>
          <w:bdr w:val="none" w:color="auto" w:sz="0" w:space="0"/>
          <w:shd w:val="clear" w:fill="FFFFFF"/>
          <w:vertAlign w:val="baseline"/>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b w:val="0"/>
          <w:i w:val="0"/>
          <w:caps w:val="0"/>
          <w:color w:val="262626"/>
          <w:spacing w:val="0"/>
          <w:sz w:val="24"/>
          <w:szCs w:val="24"/>
          <w:u w:val="single"/>
          <w:bdr w:val="none" w:color="auto" w:sz="0" w:space="0"/>
          <w:shd w:val="clear" w:fill="FFFFFF"/>
          <w:vertAlign w:val="baseline"/>
        </w:rPr>
        <w:fldChar w:fldCharType="begin"/>
      </w:r>
      <w:r>
        <w:rPr>
          <w:rFonts w:hint="eastAsia" w:ascii="微软雅黑" w:hAnsi="微软雅黑" w:eastAsia="微软雅黑" w:cs="微软雅黑"/>
          <w:b w:val="0"/>
          <w:i w:val="0"/>
          <w:caps w:val="0"/>
          <w:color w:val="262626"/>
          <w:spacing w:val="0"/>
          <w:sz w:val="24"/>
          <w:szCs w:val="24"/>
          <w:u w:val="single"/>
          <w:bdr w:val="none" w:color="auto" w:sz="0" w:space="0"/>
          <w:shd w:val="clear" w:fill="FFFFFF"/>
          <w:vertAlign w:val="baseline"/>
        </w:rPr>
        <w:instrText xml:space="preserve"> HYPERLINK "http://zchq.jlu.edu.cn/_upload/article/files/73/ad/d2bf5e0f43088bc2d9eb0f4fa725/fd07da00-86c3-4fd2-bf93-e5af96b8995a.doc" </w:instrText>
      </w:r>
      <w:r>
        <w:rPr>
          <w:rFonts w:hint="eastAsia" w:ascii="微软雅黑" w:hAnsi="微软雅黑" w:eastAsia="微软雅黑" w:cs="微软雅黑"/>
          <w:b w:val="0"/>
          <w:i w:val="0"/>
          <w:caps w:val="0"/>
          <w:color w:val="262626"/>
          <w:spacing w:val="0"/>
          <w:sz w:val="24"/>
          <w:szCs w:val="24"/>
          <w:u w:val="single"/>
          <w:bdr w:val="none" w:color="auto" w:sz="0" w:space="0"/>
          <w:shd w:val="clear" w:fill="FFFFFF"/>
          <w:vertAlign w:val="baseline"/>
        </w:rPr>
        <w:fldChar w:fldCharType="separate"/>
      </w:r>
      <w:r>
        <w:rPr>
          <w:rStyle w:val="7"/>
          <w:rFonts w:hint="eastAsia" w:ascii="微软雅黑" w:hAnsi="微软雅黑" w:eastAsia="微软雅黑" w:cs="微软雅黑"/>
          <w:b w:val="0"/>
          <w:i w:val="0"/>
          <w:caps w:val="0"/>
          <w:color w:val="262626"/>
          <w:spacing w:val="0"/>
          <w:sz w:val="24"/>
          <w:szCs w:val="24"/>
          <w:u w:val="single"/>
          <w:bdr w:val="none" w:color="auto" w:sz="0" w:space="0"/>
          <w:shd w:val="clear" w:fill="FFFFFF"/>
          <w:vertAlign w:val="baseline"/>
        </w:rPr>
        <w:t>吉林大学教学单位和独立科研机构公用房管理细则.doc</w:t>
      </w:r>
      <w:r>
        <w:rPr>
          <w:rFonts w:hint="eastAsia" w:ascii="微软雅黑" w:hAnsi="微软雅黑" w:eastAsia="微软雅黑" w:cs="微软雅黑"/>
          <w:b w:val="0"/>
          <w:i w:val="0"/>
          <w:caps w:val="0"/>
          <w:color w:val="262626"/>
          <w:spacing w:val="0"/>
          <w:sz w:val="24"/>
          <w:szCs w:val="24"/>
          <w:u w:val="single"/>
          <w:bdr w:val="none" w:color="auto" w:sz="0" w:space="0"/>
          <w:shd w:val="clear" w:fill="FFFFFF"/>
          <w:vertAlign w:val="baseline"/>
        </w:rPr>
        <w:fldChar w:fldCharType="end"/>
      </w:r>
    </w:p>
    <w:p>
      <w:pPr>
        <w:snapToGrid w:val="0"/>
        <w:spacing w:line="600" w:lineRule="exact"/>
        <w:jc w:val="center"/>
        <w:rPr>
          <w:rFonts w:hint="eastAsia" w:ascii="方正小标宋简体" w:hAnsi="Times New Roman" w:eastAsia="方正小标宋简体"/>
          <w:sz w:val="36"/>
          <w:szCs w:val="36"/>
        </w:rPr>
      </w:pPr>
    </w:p>
    <w:p>
      <w:pPr>
        <w:snapToGrid w:val="0"/>
        <w:spacing w:line="600" w:lineRule="exact"/>
        <w:jc w:val="center"/>
        <w:rPr>
          <w:rFonts w:hint="eastAsia" w:ascii="方正小标宋简体" w:hAnsi="Times New Roman" w:eastAsia="方正小标宋简体"/>
          <w:sz w:val="36"/>
          <w:szCs w:val="36"/>
        </w:rPr>
      </w:pPr>
    </w:p>
    <w:p>
      <w:pPr>
        <w:snapToGrid w:val="0"/>
        <w:spacing w:line="600" w:lineRule="exact"/>
        <w:jc w:val="center"/>
        <w:rPr>
          <w:rFonts w:hint="eastAsia" w:ascii="微软雅黑" w:hAnsi="微软雅黑" w:eastAsia="微软雅黑" w:cs="微软雅黑"/>
          <w:sz w:val="24"/>
          <w:szCs w:val="24"/>
        </w:rPr>
      </w:pPr>
      <w:r>
        <w:rPr>
          <w:rFonts w:hint="eastAsia" w:ascii="方正小标宋简体" w:hAnsi="Times New Roman" w:eastAsia="方正小标宋简体"/>
          <w:sz w:val="36"/>
          <w:szCs w:val="36"/>
          <w:lang w:val="en-US" w:eastAsia="zh-CN"/>
        </w:rPr>
        <w:t xml:space="preserve">   </w:t>
      </w:r>
      <w:bookmarkStart w:id="0" w:name="_GoBack"/>
      <w:r>
        <w:rPr>
          <w:rFonts w:hint="eastAsia" w:ascii="微软雅黑" w:hAnsi="微软雅黑" w:eastAsia="微软雅黑" w:cs="微软雅黑"/>
          <w:sz w:val="24"/>
          <w:szCs w:val="24"/>
        </w:rPr>
        <w:t>吉林大学教学单位和独立科研机构公用房</w:t>
      </w:r>
    </w:p>
    <w:p>
      <w:pPr>
        <w:snapToGrid w:val="0"/>
        <w:spacing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管理实施细则</w:t>
      </w:r>
    </w:p>
    <w:p>
      <w:pPr>
        <w:snapToGrid w:val="0"/>
        <w:spacing w:line="600" w:lineRule="exact"/>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校发</w:t>
      </w:r>
      <w:r>
        <w:rPr>
          <w:rFonts w:hint="eastAsia" w:ascii="微软雅黑" w:hAnsi="微软雅黑" w:eastAsia="微软雅黑" w:cs="微软雅黑"/>
          <w:bCs/>
          <w:sz w:val="24"/>
          <w:szCs w:val="24"/>
        </w:rPr>
        <w:t>﹝2016</w:t>
      </w:r>
      <w:r>
        <w:rPr>
          <w:rFonts w:hint="eastAsia" w:ascii="微软雅黑" w:hAnsi="微软雅黑" w:eastAsia="微软雅黑" w:cs="微软雅黑"/>
          <w:bCs/>
          <w:sz w:val="24"/>
          <w:szCs w:val="24"/>
        </w:rPr>
        <w:t>﹞60号</w:t>
      </w:r>
    </w:p>
    <w:p>
      <w:pPr>
        <w:snapToGrid w:val="0"/>
        <w:spacing w:line="600" w:lineRule="exact"/>
        <w:jc w:val="center"/>
        <w:rPr>
          <w:rFonts w:hint="eastAsia" w:ascii="微软雅黑" w:hAnsi="微软雅黑" w:eastAsia="微软雅黑" w:cs="微软雅黑"/>
          <w:bCs/>
          <w:sz w:val="24"/>
          <w:szCs w:val="24"/>
        </w:rPr>
      </w:pPr>
    </w:p>
    <w:p>
      <w:pPr>
        <w:snapToGrid w:val="0"/>
        <w:spacing w:line="600" w:lineRule="exact"/>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第一章  总  则</w:t>
      </w:r>
    </w:p>
    <w:p>
      <w:pPr>
        <w:snapToGrid w:val="0"/>
        <w:spacing w:line="60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
          <w:bCs/>
          <w:sz w:val="24"/>
          <w:szCs w:val="24"/>
        </w:rPr>
        <w:t xml:space="preserve">第一条 </w:t>
      </w:r>
      <w:r>
        <w:rPr>
          <w:rFonts w:hint="eastAsia" w:ascii="微软雅黑" w:hAnsi="微软雅黑" w:eastAsia="微软雅黑" w:cs="微软雅黑"/>
          <w:bCs/>
          <w:sz w:val="24"/>
          <w:szCs w:val="24"/>
        </w:rPr>
        <w:t>为使学校公用房产有效合理地使用，保护学校公有财产和保障使用单位的合法权益，参照国家部委和地方政府有关文件精神、结合学校具体情况，特制定本实施细则。</w:t>
      </w:r>
    </w:p>
    <w:p>
      <w:pPr>
        <w:snapToGrid w:val="0"/>
        <w:spacing w:line="60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
          <w:bCs/>
          <w:sz w:val="24"/>
          <w:szCs w:val="24"/>
        </w:rPr>
        <w:t xml:space="preserve">第二条 </w:t>
      </w:r>
      <w:r>
        <w:rPr>
          <w:rFonts w:hint="eastAsia" w:ascii="微软雅黑" w:hAnsi="微软雅黑" w:eastAsia="微软雅黑" w:cs="微软雅黑"/>
          <w:bCs/>
          <w:sz w:val="24"/>
          <w:szCs w:val="24"/>
        </w:rPr>
        <w:t>学校公用房产实行两级管理，学校负责制定政策和落实规划方案，并对各单位各类用房核定指标，逐步推进公用房产的合理配置。各单位内部用房的日常调配由各单位按《吉林大学公用房改革与管理条例》自行安排。</w:t>
      </w:r>
    </w:p>
    <w:p>
      <w:pPr>
        <w:snapToGrid w:val="0"/>
        <w:spacing w:line="600" w:lineRule="exact"/>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    第三条 </w:t>
      </w:r>
      <w:r>
        <w:rPr>
          <w:rFonts w:hint="eastAsia" w:ascii="微软雅黑" w:hAnsi="微软雅黑" w:eastAsia="微软雅黑" w:cs="微软雅黑"/>
          <w:bCs/>
          <w:sz w:val="24"/>
          <w:szCs w:val="24"/>
        </w:rPr>
        <w:t>本细则核定用房指标是依据国家有关文件，并结合我校公用房产的使用现状，核定各单位各类用房的定额指标，</w:t>
      </w:r>
      <w:r>
        <w:rPr>
          <w:rFonts w:hint="eastAsia" w:ascii="微软雅黑" w:hAnsi="微软雅黑" w:eastAsia="微软雅黑" w:cs="微软雅黑"/>
          <w:sz w:val="24"/>
          <w:szCs w:val="24"/>
        </w:rPr>
        <w:t>超额的公用房原则上要求收回；同时，学校将制定政策将收回的公用房重新配置给缺额单位。在收回和调整用房之前，学校对超额用房部分按规定收取房产资源使用费，并按标准补贴给缺额单位。</w:t>
      </w:r>
    </w:p>
    <w:p>
      <w:pPr>
        <w:snapToGrid w:val="0"/>
        <w:spacing w:line="600" w:lineRule="exact"/>
        <w:ind w:firstLine="600"/>
        <w:rPr>
          <w:rFonts w:hint="eastAsia" w:ascii="微软雅黑" w:hAnsi="微软雅黑" w:eastAsia="微软雅黑" w:cs="微软雅黑"/>
          <w:bCs/>
          <w:sz w:val="24"/>
          <w:szCs w:val="24"/>
        </w:rPr>
      </w:pPr>
      <w:r>
        <w:rPr>
          <w:rFonts w:hint="eastAsia" w:ascii="微软雅黑" w:hAnsi="微软雅黑" w:eastAsia="微软雅黑" w:cs="微软雅黑"/>
          <w:b/>
          <w:bCs/>
          <w:sz w:val="24"/>
          <w:szCs w:val="24"/>
        </w:rPr>
        <w:t>第四条</w:t>
      </w:r>
      <w:r>
        <w:rPr>
          <w:rFonts w:hint="eastAsia" w:ascii="微软雅黑" w:hAnsi="微软雅黑" w:eastAsia="微软雅黑" w:cs="微软雅黑"/>
          <w:bCs/>
          <w:sz w:val="24"/>
          <w:szCs w:val="24"/>
        </w:rPr>
        <w:t xml:space="preserve"> 本细则所给出的房屋面积，凡未注明的均指房屋的“使用面积”，不包括门厅、走廊、楼梯、卫生间等公用部分。</w:t>
      </w:r>
    </w:p>
    <w:p>
      <w:pPr>
        <w:snapToGrid w:val="0"/>
        <w:spacing w:before="309" w:beforeLines="50" w:line="600" w:lineRule="exact"/>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第二章 教学单位和独立科研机构的教学实验和科研用房</w:t>
      </w:r>
    </w:p>
    <w:p>
      <w:pPr>
        <w:tabs>
          <w:tab w:val="center" w:pos="4153"/>
        </w:tabs>
        <w:snapToGrid w:val="0"/>
        <w:spacing w:line="600" w:lineRule="exact"/>
        <w:ind w:firstLine="471" w:firstLineChars="196"/>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第五条 </w:t>
      </w:r>
      <w:r>
        <w:rPr>
          <w:rFonts w:hint="eastAsia" w:ascii="微软雅黑" w:hAnsi="微软雅黑" w:eastAsia="微软雅黑" w:cs="微软雅黑"/>
          <w:sz w:val="24"/>
          <w:szCs w:val="24"/>
        </w:rPr>
        <w:t>教学实验用房是指本（专）科生实验教学用房，定额面积以教务处、实验室与设备管理处、资产管理与后勤处核定面积为准。</w:t>
      </w:r>
    </w:p>
    <w:p>
      <w:pPr>
        <w:tabs>
          <w:tab w:val="left" w:pos="6705"/>
        </w:tabs>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第六条</w:t>
      </w:r>
      <w:r>
        <w:rPr>
          <w:rFonts w:hint="eastAsia" w:ascii="微软雅黑" w:hAnsi="微软雅黑" w:eastAsia="微软雅黑" w:cs="微软雅黑"/>
          <w:sz w:val="24"/>
          <w:szCs w:val="24"/>
        </w:rPr>
        <w:t xml:space="preserve"> 科研用房定额面积标准分为两部分，一是基础科研定额面积，以教师编制（含计划内博士后）为测算依据并对研究生给予加权；二是激励科研定额面积，在基础科研定额面积的基础上再进行业绩加权。</w:t>
      </w:r>
    </w:p>
    <w:p>
      <w:pPr>
        <w:tabs>
          <w:tab w:val="left" w:pos="6705"/>
        </w:tabs>
        <w:snapToGrid w:val="0"/>
        <w:spacing w:line="60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计算公式：</w:t>
      </w:r>
    </w:p>
    <w:p>
      <w:pPr>
        <w:tabs>
          <w:tab w:val="left" w:pos="6705"/>
        </w:tabs>
        <w:snapToGrid w:val="0"/>
        <w:spacing w:line="60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科研用房定额面积(㎡)=基础科研定额面积+激励科研定额面积</w:t>
      </w:r>
    </w:p>
    <w:p>
      <w:pPr>
        <w:tabs>
          <w:tab w:val="left" w:pos="6705"/>
        </w:tabs>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Cs/>
          <w:sz w:val="24"/>
          <w:szCs w:val="24"/>
        </w:rPr>
        <w:t>基础科研定额面积(㎡)=</w:t>
      </w:r>
      <w:r>
        <w:rPr>
          <w:rFonts w:hint="eastAsia" w:ascii="微软雅黑" w:hAnsi="微软雅黑" w:eastAsia="微软雅黑" w:cs="微软雅黑"/>
          <w:sz w:val="24"/>
          <w:szCs w:val="24"/>
        </w:rPr>
        <w:t>（科研编制数+硕士生人数×0.25+博士生人数×0.5）×Y×1/2</w:t>
      </w:r>
    </w:p>
    <w:p>
      <w:pPr>
        <w:snapToGrid w:val="0"/>
        <w:spacing w:line="60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激励科研定额面积(㎡)=（</w:t>
      </w:r>
      <w:r>
        <w:rPr>
          <w:rFonts w:hint="eastAsia" w:ascii="微软雅黑" w:hAnsi="微软雅黑" w:eastAsia="微软雅黑" w:cs="微软雅黑"/>
          <w:sz w:val="24"/>
          <w:szCs w:val="24"/>
        </w:rPr>
        <w:t>科研编制数+硕士生人数×0.25+博士生人数×0.5）×Y×1/2</w:t>
      </w:r>
      <w:r>
        <w:rPr>
          <w:rFonts w:hint="eastAsia" w:ascii="微软雅黑" w:hAnsi="微软雅黑" w:eastAsia="微软雅黑" w:cs="微软雅黑"/>
          <w:bCs/>
          <w:sz w:val="24"/>
          <w:szCs w:val="24"/>
        </w:rPr>
        <w:t>×K</w:t>
      </w:r>
    </w:p>
    <w:p>
      <w:pPr>
        <w:snapToGrid w:val="0"/>
        <w:spacing w:line="600" w:lineRule="exact"/>
        <w:rPr>
          <w:rFonts w:hint="eastAsia" w:ascii="微软雅黑" w:hAnsi="微软雅黑" w:eastAsia="微软雅黑" w:cs="微软雅黑"/>
          <w:b/>
          <w:bCs/>
          <w:sz w:val="24"/>
          <w:szCs w:val="24"/>
        </w:rPr>
      </w:pPr>
      <w:r>
        <w:rPr>
          <w:rFonts w:hint="eastAsia" w:ascii="微软雅黑" w:hAnsi="微软雅黑" w:eastAsia="微软雅黑" w:cs="微软雅黑"/>
          <w:bCs/>
          <w:sz w:val="24"/>
          <w:szCs w:val="24"/>
        </w:rPr>
        <w:t xml:space="preserve">    其中Y为不同学科科研编制的定额面积，取值标准为</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72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Y取值情况</w:t>
            </w:r>
          </w:p>
        </w:tc>
        <w:tc>
          <w:tcPr>
            <w:tcW w:w="7594"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教学单位或独立科研机构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ind w:firstLine="117" w:firstLineChars="49"/>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 人</w:t>
            </w:r>
          </w:p>
        </w:tc>
        <w:tc>
          <w:tcPr>
            <w:tcW w:w="7594"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人文学部（不含艺术学院）、社科学部、管理学院、高教所、东北亚研究院、古籍所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72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8㎡/ 人</w:t>
            </w:r>
          </w:p>
        </w:tc>
        <w:tc>
          <w:tcPr>
            <w:tcW w:w="7594"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数学学院、应用技术学院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72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13㎡/ 人</w:t>
            </w:r>
          </w:p>
        </w:tc>
        <w:tc>
          <w:tcPr>
            <w:tcW w:w="7594"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信息学部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16㎡/ 人</w:t>
            </w:r>
          </w:p>
        </w:tc>
        <w:tc>
          <w:tcPr>
            <w:tcW w:w="7594" w:type="dxa"/>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理学部（不含数学学院）、工学部（不含管理学院）、地学部、超塑性研究所、辊段所、链条所、古生物中心、原子所、艺术学院、理化所</w:t>
            </w:r>
          </w:p>
        </w:tc>
      </w:tr>
    </w:tbl>
    <w:p>
      <w:pPr>
        <w:snapToGrid w:val="0"/>
        <w:spacing w:line="600" w:lineRule="exact"/>
        <w:ind w:firstLine="556"/>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K为业绩系数，其取值情况如下：</w:t>
      </w:r>
      <w:r>
        <w:rPr>
          <w:rFonts w:hint="eastAsia" w:ascii="微软雅黑" w:hAnsi="微软雅黑" w:eastAsia="微软雅黑" w:cs="微软雅黑"/>
          <w:bCs/>
          <w:sz w:val="24"/>
          <w:szCs w:val="24"/>
        </w:rPr>
        <w:br w:type="textWrapping"/>
      </w:r>
      <w:r>
        <w:rPr>
          <w:rFonts w:hint="eastAsia" w:ascii="微软雅黑" w:hAnsi="微软雅黑" w:eastAsia="微软雅黑" w:cs="微软雅黑"/>
          <w:bCs/>
          <w:sz w:val="24"/>
          <w:szCs w:val="24"/>
        </w:rPr>
        <w:t xml:space="preserve">    按照学校制定的教学科研业绩津贴中（取前三年平均值）各单位业绩津贴所占学校总业绩津贴的百分比与各单位人员编制所占学校总编制的百分比之差来确定k值。</w:t>
      </w:r>
    </w:p>
    <w:p>
      <w:pPr>
        <w:snapToGrid w:val="0"/>
        <w:spacing w:line="600" w:lineRule="exact"/>
        <w:ind w:firstLine="556"/>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（测算时采用线性插值确定）</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813"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差值</w:t>
            </w:r>
          </w:p>
        </w:tc>
        <w:tc>
          <w:tcPr>
            <w:tcW w:w="1812"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 0.5%</w:t>
            </w:r>
          </w:p>
        </w:tc>
        <w:tc>
          <w:tcPr>
            <w:tcW w:w="1812"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812"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812"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813"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K值</w:t>
            </w:r>
          </w:p>
        </w:tc>
        <w:tc>
          <w:tcPr>
            <w:tcW w:w="1812"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812"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1.25</w:t>
            </w:r>
          </w:p>
        </w:tc>
        <w:tc>
          <w:tcPr>
            <w:tcW w:w="1812"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1.85</w:t>
            </w:r>
          </w:p>
        </w:tc>
        <w:tc>
          <w:tcPr>
            <w:tcW w:w="1812"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2.75</w:t>
            </w:r>
          </w:p>
        </w:tc>
      </w:tr>
    </w:tbl>
    <w:p>
      <w:pPr>
        <w:snapToGrid w:val="0"/>
        <w:spacing w:before="309" w:beforeLines="5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第三章  教学单位和独立科研机构的</w:t>
      </w:r>
      <w:r>
        <w:rPr>
          <w:rFonts w:hint="eastAsia" w:ascii="微软雅黑" w:hAnsi="微软雅黑" w:eastAsia="微软雅黑" w:cs="微软雅黑"/>
          <w:b/>
          <w:sz w:val="24"/>
          <w:szCs w:val="24"/>
        </w:rPr>
        <w:t>专项补贴用房</w:t>
      </w:r>
    </w:p>
    <w:p>
      <w:pPr>
        <w:tabs>
          <w:tab w:val="left" w:pos="6705"/>
        </w:tabs>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第七条</w:t>
      </w:r>
      <w:r>
        <w:rPr>
          <w:rFonts w:hint="eastAsia" w:ascii="微软雅黑" w:hAnsi="微软雅黑" w:eastAsia="微软雅黑" w:cs="微软雅黑"/>
          <w:sz w:val="24"/>
          <w:szCs w:val="24"/>
        </w:rPr>
        <w:t xml:space="preserve"> 对拥有各类优秀人才、重要学术研究机构、大型仪器设备、国家级实验教学中心的学院和独立科研机构进行面积补贴，标准如下：</w:t>
      </w:r>
    </w:p>
    <w:p>
      <w:pPr>
        <w:tabs>
          <w:tab w:val="left" w:pos="6705"/>
        </w:tabs>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（一）人才补助用房</w:t>
      </w:r>
    </w:p>
    <w:p>
      <w:pPr>
        <w:tabs>
          <w:tab w:val="left" w:pos="6705"/>
        </w:tabs>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对院士（资深教授）、千人等高层次的人才，增加配置科研用房定额面积，无偿使用。</w:t>
      </w:r>
    </w:p>
    <w:tbl>
      <w:tblPr>
        <w:tblStyle w:val="8"/>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36"/>
        <w:gridCol w:w="1313"/>
        <w:gridCol w:w="2948"/>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668"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类别</w:t>
            </w:r>
          </w:p>
        </w:tc>
        <w:tc>
          <w:tcPr>
            <w:tcW w:w="936" w:type="dxa"/>
            <w:vAlign w:val="center"/>
          </w:tcPr>
          <w:p>
            <w:pPr>
              <w:adjustRightInd w:val="0"/>
              <w:snapToGrid w:val="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院士</w:t>
            </w:r>
          </w:p>
        </w:tc>
        <w:tc>
          <w:tcPr>
            <w:tcW w:w="1313" w:type="dxa"/>
            <w:vAlign w:val="center"/>
          </w:tcPr>
          <w:p>
            <w:pPr>
              <w:adjustRightInd w:val="0"/>
              <w:snapToGrid w:val="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哲社</w:t>
            </w:r>
          </w:p>
          <w:p>
            <w:pPr>
              <w:adjustRightInd w:val="0"/>
              <w:snapToGrid w:val="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资深</w:t>
            </w:r>
          </w:p>
          <w:p>
            <w:pPr>
              <w:adjustRightInd w:val="0"/>
              <w:snapToGrid w:val="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教授</w:t>
            </w:r>
          </w:p>
        </w:tc>
        <w:tc>
          <w:tcPr>
            <w:tcW w:w="2948" w:type="dxa"/>
            <w:vAlign w:val="center"/>
          </w:tcPr>
          <w:p>
            <w:pPr>
              <w:adjustRightInd w:val="0"/>
              <w:snapToGrid w:val="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万人计划、千人、长江、杰青、国家教学名师（理工类）</w:t>
            </w:r>
          </w:p>
        </w:tc>
        <w:tc>
          <w:tcPr>
            <w:tcW w:w="2342" w:type="dxa"/>
            <w:vAlign w:val="center"/>
          </w:tcPr>
          <w:p>
            <w:pPr>
              <w:adjustRightInd w:val="0"/>
              <w:snapToGrid w:val="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万人计划、千人、长江、杰青、国家教学名师（人文社科类）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68" w:type="dxa"/>
            <w:vAlign w:val="center"/>
          </w:tcPr>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补贴面积</w:t>
            </w:r>
          </w:p>
          <w:p>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（㎡/人）</w:t>
            </w:r>
          </w:p>
        </w:tc>
        <w:tc>
          <w:tcPr>
            <w:tcW w:w="936" w:type="dxa"/>
            <w:vAlign w:val="center"/>
          </w:tcPr>
          <w:p>
            <w:pPr>
              <w:adjustRightInd w:val="0"/>
              <w:snapToGrid w:val="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200</w:t>
            </w:r>
          </w:p>
        </w:tc>
        <w:tc>
          <w:tcPr>
            <w:tcW w:w="1313" w:type="dxa"/>
            <w:vAlign w:val="center"/>
          </w:tcPr>
          <w:p>
            <w:pPr>
              <w:adjustRightInd w:val="0"/>
              <w:snapToGrid w:val="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100</w:t>
            </w:r>
          </w:p>
        </w:tc>
        <w:tc>
          <w:tcPr>
            <w:tcW w:w="2948" w:type="dxa"/>
            <w:vAlign w:val="center"/>
          </w:tcPr>
          <w:p>
            <w:pPr>
              <w:adjustRightInd w:val="0"/>
              <w:snapToGrid w:val="0"/>
              <w:jc w:val="center"/>
              <w:rPr>
                <w:rFonts w:hint="eastAsia" w:ascii="微软雅黑" w:hAnsi="微软雅黑" w:eastAsia="微软雅黑" w:cs="微软雅黑"/>
                <w:bCs/>
                <w:sz w:val="24"/>
                <w:szCs w:val="24"/>
                <w:highlight w:val="yellow"/>
              </w:rPr>
            </w:pPr>
            <w:r>
              <w:rPr>
                <w:rFonts w:hint="eastAsia" w:ascii="微软雅黑" w:hAnsi="微软雅黑" w:eastAsia="微软雅黑" w:cs="微软雅黑"/>
                <w:bCs/>
                <w:sz w:val="24"/>
                <w:szCs w:val="24"/>
              </w:rPr>
              <w:t>60</w:t>
            </w:r>
          </w:p>
        </w:tc>
        <w:tc>
          <w:tcPr>
            <w:tcW w:w="2342" w:type="dxa"/>
            <w:vAlign w:val="center"/>
          </w:tcPr>
          <w:p>
            <w:pPr>
              <w:adjustRightInd w:val="0"/>
              <w:snapToGrid w:val="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30</w:t>
            </w:r>
          </w:p>
        </w:tc>
      </w:tr>
    </w:tbl>
    <w:p>
      <w:pPr>
        <w:snapToGrid w:val="0"/>
        <w:spacing w:line="62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对多重身份的高层次人才，按最高值补贴，不重复计算补贴面积。</w:t>
      </w:r>
    </w:p>
    <w:p>
      <w:pPr>
        <w:snapToGrid w:val="0"/>
        <w:spacing w:line="62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（二）科研机构补助用房</w:t>
      </w:r>
    </w:p>
    <w:p>
      <w:pPr>
        <w:snapToGrid w:val="0"/>
        <w:spacing w:line="62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对重点实验室、工程中心及文科基地等的用房，根据实验室的类别、等级，增加相应的配置面积，无偿使用。</w:t>
      </w:r>
    </w:p>
    <w:tbl>
      <w:tblPr>
        <w:tblStyle w:val="8"/>
        <w:tblW w:w="9920" w:type="dxa"/>
        <w:jc w:val="center"/>
        <w:tblInd w:w="0" w:type="dxa"/>
        <w:tblLayout w:type="fixed"/>
        <w:tblCellMar>
          <w:top w:w="0" w:type="dxa"/>
          <w:left w:w="0" w:type="dxa"/>
          <w:bottom w:w="0" w:type="dxa"/>
          <w:right w:w="0" w:type="dxa"/>
        </w:tblCellMar>
      </w:tblPr>
      <w:tblGrid>
        <w:gridCol w:w="1260"/>
        <w:gridCol w:w="1155"/>
        <w:gridCol w:w="1166"/>
        <w:gridCol w:w="1090"/>
        <w:gridCol w:w="1090"/>
        <w:gridCol w:w="1466"/>
        <w:gridCol w:w="1276"/>
        <w:gridCol w:w="1417"/>
      </w:tblGrid>
      <w:tr>
        <w:tblPrEx>
          <w:tblLayout w:type="fixed"/>
          <w:tblCellMar>
            <w:top w:w="0" w:type="dxa"/>
            <w:left w:w="0" w:type="dxa"/>
            <w:bottom w:w="0" w:type="dxa"/>
            <w:right w:w="0" w:type="dxa"/>
          </w:tblCellMar>
        </w:tblPrEx>
        <w:trPr>
          <w:cantSplit/>
          <w:trHeight w:val="1207" w:hRule="atLeast"/>
          <w:jc w:val="center"/>
        </w:trPr>
        <w:tc>
          <w:tcPr>
            <w:tcW w:w="1260"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adjustRightInd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color w:val="000000"/>
                <w:kern w:val="24"/>
                <w:sz w:val="24"/>
                <w:szCs w:val="24"/>
              </w:rPr>
              <w:t>实验室级别</w:t>
            </w:r>
          </w:p>
        </w:tc>
        <w:tc>
          <w:tcPr>
            <w:tcW w:w="1155"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adjustRightInd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 xml:space="preserve">国家重点实验室 </w:t>
            </w:r>
          </w:p>
        </w:tc>
        <w:tc>
          <w:tcPr>
            <w:tcW w:w="1166"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adjustRightInd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国家工程实验室、中心</w:t>
            </w:r>
          </w:p>
        </w:tc>
        <w:tc>
          <w:tcPr>
            <w:tcW w:w="1090"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adjustRightInd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教育部重点实验室</w:t>
            </w:r>
          </w:p>
        </w:tc>
        <w:tc>
          <w:tcPr>
            <w:tcW w:w="1090"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adjustRightInd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教育部工程中心</w:t>
            </w:r>
          </w:p>
        </w:tc>
        <w:tc>
          <w:tcPr>
            <w:tcW w:w="1466"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adjustRightInd w:val="0"/>
              <w:snapToGrid w:val="0"/>
              <w:spacing w:line="240" w:lineRule="atLeast"/>
              <w:jc w:val="center"/>
              <w:textAlignment w:val="center"/>
              <w:rPr>
                <w:rFonts w:hint="eastAsia" w:ascii="微软雅黑" w:hAnsi="微软雅黑" w:eastAsia="微软雅黑" w:cs="微软雅黑"/>
                <w:bCs/>
                <w:color w:val="000000"/>
                <w:kern w:val="24"/>
                <w:sz w:val="24"/>
                <w:szCs w:val="24"/>
              </w:rPr>
            </w:pPr>
            <w:r>
              <w:rPr>
                <w:rFonts w:hint="eastAsia" w:ascii="微软雅黑" w:hAnsi="微软雅黑" w:eastAsia="微软雅黑" w:cs="微软雅黑"/>
                <w:bCs/>
                <w:color w:val="000000"/>
                <w:kern w:val="24"/>
                <w:sz w:val="24"/>
                <w:szCs w:val="24"/>
              </w:rPr>
              <w:t>其他部委重点实验室</w:t>
            </w:r>
          </w:p>
          <w:p>
            <w:pPr>
              <w:widowControl/>
              <w:kinsoku w:val="0"/>
              <w:wordWrap w:val="0"/>
              <w:overflowPunct w:val="0"/>
              <w:adjustRightInd w:val="0"/>
              <w:snapToGrid w:val="0"/>
              <w:spacing w:line="240" w:lineRule="atLeast"/>
              <w:jc w:val="center"/>
              <w:textAlignment w:val="center"/>
              <w:rPr>
                <w:rFonts w:hint="eastAsia" w:ascii="微软雅黑" w:hAnsi="微软雅黑" w:eastAsia="微软雅黑" w:cs="微软雅黑"/>
                <w:kern w:val="0"/>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adjustRightInd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教育部文科基地</w:t>
            </w:r>
          </w:p>
        </w:tc>
        <w:tc>
          <w:tcPr>
            <w:tcW w:w="1417"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adjustRightInd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sz w:val="24"/>
                <w:szCs w:val="24"/>
              </w:rPr>
              <w:t>国家各局重点实验室</w:t>
            </w:r>
          </w:p>
        </w:tc>
      </w:tr>
      <w:tr>
        <w:tblPrEx>
          <w:tblLayout w:type="fixed"/>
          <w:tblCellMar>
            <w:top w:w="0" w:type="dxa"/>
            <w:left w:w="0" w:type="dxa"/>
            <w:bottom w:w="0" w:type="dxa"/>
            <w:right w:w="0" w:type="dxa"/>
          </w:tblCellMar>
        </w:tblPrEx>
        <w:trPr>
          <w:cantSplit/>
          <w:trHeight w:val="814" w:hRule="atLeast"/>
          <w:jc w:val="center"/>
        </w:trPr>
        <w:tc>
          <w:tcPr>
            <w:tcW w:w="1260"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color w:val="000000"/>
                <w:kern w:val="24"/>
                <w:sz w:val="24"/>
                <w:szCs w:val="24"/>
              </w:rPr>
              <w:t>补贴</w:t>
            </w:r>
          </w:p>
          <w:p>
            <w:pPr>
              <w:widowControl/>
              <w:kinsoku w:val="0"/>
              <w:wordWrap w:val="0"/>
              <w:overflowPunct w:val="0"/>
              <w:snapToGrid w:val="0"/>
              <w:spacing w:line="240" w:lineRule="atLeast"/>
              <w:jc w:val="center"/>
              <w:textAlignment w:val="center"/>
              <w:rPr>
                <w:rFonts w:hint="eastAsia" w:ascii="微软雅黑" w:hAnsi="微软雅黑" w:eastAsia="微软雅黑" w:cs="微软雅黑"/>
                <w:color w:val="000000"/>
                <w:kern w:val="24"/>
                <w:sz w:val="24"/>
                <w:szCs w:val="24"/>
              </w:rPr>
            </w:pPr>
            <w:r>
              <w:rPr>
                <w:rFonts w:hint="eastAsia" w:ascii="微软雅黑" w:hAnsi="微软雅黑" w:eastAsia="微软雅黑" w:cs="微软雅黑"/>
                <w:color w:val="000000"/>
                <w:kern w:val="24"/>
                <w:sz w:val="24"/>
                <w:szCs w:val="24"/>
              </w:rPr>
              <w:t>面积</w:t>
            </w:r>
          </w:p>
          <w:p>
            <w:pPr>
              <w:widowControl/>
              <w:kinsoku w:val="0"/>
              <w:wordWrap w:val="0"/>
              <w:overflowPunct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color w:val="000000"/>
                <w:kern w:val="24"/>
                <w:sz w:val="24"/>
                <w:szCs w:val="24"/>
              </w:rPr>
              <w:t>(㎡/个)</w:t>
            </w:r>
          </w:p>
        </w:tc>
        <w:tc>
          <w:tcPr>
            <w:tcW w:w="1155"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1500</w:t>
            </w:r>
          </w:p>
        </w:tc>
        <w:tc>
          <w:tcPr>
            <w:tcW w:w="1166"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1000</w:t>
            </w:r>
          </w:p>
        </w:tc>
        <w:tc>
          <w:tcPr>
            <w:tcW w:w="1090"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500</w:t>
            </w:r>
          </w:p>
        </w:tc>
        <w:tc>
          <w:tcPr>
            <w:tcW w:w="1090"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300</w:t>
            </w:r>
          </w:p>
        </w:tc>
        <w:tc>
          <w:tcPr>
            <w:tcW w:w="1466"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300</w:t>
            </w:r>
          </w:p>
        </w:tc>
        <w:tc>
          <w:tcPr>
            <w:tcW w:w="1276"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300</w:t>
            </w:r>
          </w:p>
        </w:tc>
        <w:tc>
          <w:tcPr>
            <w:tcW w:w="1417" w:type="dxa"/>
            <w:tcBorders>
              <w:top w:val="single" w:color="000000" w:sz="8" w:space="0"/>
              <w:left w:val="single" w:color="000000" w:sz="8" w:space="0"/>
              <w:bottom w:val="single" w:color="000000" w:sz="8" w:space="0"/>
              <w:right w:val="single" w:color="000000" w:sz="8" w:space="0"/>
            </w:tcBorders>
            <w:tcMar>
              <w:top w:w="72" w:type="dxa"/>
              <w:left w:w="156" w:type="dxa"/>
              <w:bottom w:w="72" w:type="dxa"/>
              <w:right w:w="156" w:type="dxa"/>
            </w:tcMar>
            <w:vAlign w:val="center"/>
          </w:tcPr>
          <w:p>
            <w:pPr>
              <w:widowControl/>
              <w:kinsoku w:val="0"/>
              <w:wordWrap w:val="0"/>
              <w:overflowPunct w:val="0"/>
              <w:snapToGrid w:val="0"/>
              <w:spacing w:line="240" w:lineRule="atLeast"/>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bCs/>
                <w:color w:val="000000"/>
                <w:kern w:val="24"/>
                <w:sz w:val="24"/>
                <w:szCs w:val="24"/>
              </w:rPr>
              <w:t>300</w:t>
            </w:r>
          </w:p>
        </w:tc>
      </w:tr>
    </w:tbl>
    <w:p>
      <w:pPr>
        <w:snapToGrid w:val="0"/>
        <w:spacing w:line="600" w:lineRule="exact"/>
        <w:ind w:firstLine="555"/>
        <w:rPr>
          <w:rFonts w:hint="eastAsia" w:ascii="微软雅黑" w:hAnsi="微软雅黑" w:eastAsia="微软雅黑" w:cs="微软雅黑"/>
          <w:sz w:val="24"/>
          <w:szCs w:val="24"/>
        </w:rPr>
      </w:pPr>
      <w:r>
        <w:rPr>
          <w:rFonts w:hint="eastAsia" w:ascii="微软雅黑" w:hAnsi="微软雅黑" w:eastAsia="微软雅黑" w:cs="微软雅黑"/>
          <w:sz w:val="24"/>
          <w:szCs w:val="24"/>
        </w:rPr>
        <w:t>重点实验室等的配置用房，重复计算补贴面积。</w:t>
      </w:r>
    </w:p>
    <w:p>
      <w:pPr>
        <w:snapToGrid w:val="0"/>
        <w:spacing w:line="600" w:lineRule="exact"/>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（三）大型仪器设备补贴</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参考其它高校的经验，对重要的超大面积、单一功能的装备系统，使用面积超过600㎡的按600㎡计算（与实验室与设备管理处、科技处商议并征求院士和相关学院的意见确定）。</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（四）教学补贴</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国家教学示范中心补贴：500㎡/个</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Cs/>
          <w:sz w:val="24"/>
          <w:szCs w:val="24"/>
        </w:rPr>
        <w:t>专项补贴用房定额面积=人才补助用房面积+科研机构补助用房面积+大型仪器设备补贴用房面积+教学补贴用房面积</w:t>
      </w:r>
    </w:p>
    <w:p>
      <w:pPr>
        <w:snapToGrid w:val="0"/>
        <w:spacing w:before="309" w:beforeLines="50" w:line="600" w:lineRule="exact"/>
        <w:jc w:val="center"/>
        <w:rPr>
          <w:rFonts w:hint="eastAsia" w:ascii="微软雅黑" w:hAnsi="微软雅黑" w:eastAsia="微软雅黑" w:cs="微软雅黑"/>
          <w:bCs/>
          <w:sz w:val="24"/>
          <w:szCs w:val="24"/>
        </w:rPr>
      </w:pPr>
      <w:r>
        <w:rPr>
          <w:rFonts w:hint="eastAsia" w:ascii="微软雅黑" w:hAnsi="微软雅黑" w:eastAsia="微软雅黑" w:cs="微软雅黑"/>
          <w:b/>
          <w:bCs/>
          <w:sz w:val="24"/>
          <w:szCs w:val="24"/>
        </w:rPr>
        <w:t>第四章</w:t>
      </w:r>
      <w:r>
        <w:rPr>
          <w:rFonts w:hint="eastAsia" w:ascii="微软雅黑" w:hAnsi="微软雅黑" w:eastAsia="微软雅黑" w:cs="微软雅黑"/>
          <w:bCs/>
          <w:sz w:val="24"/>
          <w:szCs w:val="24"/>
        </w:rPr>
        <w:t xml:space="preserve"> </w:t>
      </w:r>
      <w:r>
        <w:rPr>
          <w:rFonts w:hint="eastAsia" w:ascii="微软雅黑" w:hAnsi="微软雅黑" w:eastAsia="微软雅黑" w:cs="微软雅黑"/>
          <w:b/>
          <w:bCs/>
          <w:sz w:val="24"/>
          <w:szCs w:val="24"/>
        </w:rPr>
        <w:t>教学单位和独立科研机构的办公及教师用房</w:t>
      </w:r>
    </w:p>
    <w:p>
      <w:pPr>
        <w:snapToGrid w:val="0"/>
        <w:spacing w:line="60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
          <w:bCs/>
          <w:sz w:val="24"/>
          <w:szCs w:val="24"/>
        </w:rPr>
        <w:t>第八条</w:t>
      </w:r>
      <w:r>
        <w:rPr>
          <w:rFonts w:hint="eastAsia" w:ascii="微软雅黑" w:hAnsi="微软雅黑" w:eastAsia="微软雅黑" w:cs="微软雅黑"/>
          <w:bCs/>
          <w:sz w:val="24"/>
          <w:szCs w:val="24"/>
        </w:rPr>
        <w:t xml:space="preserve"> 教学单位和独立科研机构的办公及教师用房包括行政管理人员办公用房、教师、教辅办公用房及资料室、会议室等用房。</w:t>
      </w:r>
    </w:p>
    <w:p>
      <w:pPr>
        <w:snapToGrid w:val="0"/>
        <w:spacing w:line="600" w:lineRule="exact"/>
        <w:ind w:firstLine="360" w:firstLineChars="15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（一）办公用房定额标准：按学校下达给各单位的党政管理编制数计算，其定额标准如下：</w:t>
      </w:r>
    </w:p>
    <w:tbl>
      <w:tblPr>
        <w:tblStyle w:val="8"/>
        <w:tblpPr w:leftFromText="180" w:rightFromText="180" w:vertAnchor="text" w:horzAnchor="margin" w:tblpY="820"/>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3060" w:type="dxa"/>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院级正职（B1）</w:t>
            </w:r>
          </w:p>
        </w:tc>
        <w:tc>
          <w:tcPr>
            <w:tcW w:w="2880" w:type="dxa"/>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院级副职（B2）</w:t>
            </w:r>
          </w:p>
        </w:tc>
        <w:tc>
          <w:tcPr>
            <w:tcW w:w="2880" w:type="dxa"/>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其他(B3)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3060" w:type="dxa"/>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18</w:t>
            </w:r>
          </w:p>
        </w:tc>
        <w:tc>
          <w:tcPr>
            <w:tcW w:w="2880" w:type="dxa"/>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12</w:t>
            </w:r>
          </w:p>
        </w:tc>
        <w:tc>
          <w:tcPr>
            <w:tcW w:w="2880" w:type="dxa"/>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9</w:t>
            </w:r>
          </w:p>
        </w:tc>
      </w:tr>
    </w:tbl>
    <w:p>
      <w:pPr>
        <w:snapToGrid w:val="0"/>
        <w:spacing w:line="600" w:lineRule="exact"/>
        <w:ind w:firstLine="360" w:firstLineChars="15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办公用房定额标准（㎡/人）</w:t>
      </w:r>
    </w:p>
    <w:p>
      <w:pPr>
        <w:snapToGrid w:val="0"/>
        <w:spacing w:line="60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对于兼职院级、副院级领导办公及教师用房按党政职务与职称重复计算。</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（二）教师、教辅用房定额标准：</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1.按人社处下达给各单位的教学、教辅等事业编制计算，每个事业编制10㎡计算。</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学院和独立科研机构在内部分配时，可根据自身用房情况，在国家法定标准的范围内，单独制定标准。</w:t>
      </w:r>
    </w:p>
    <w:p>
      <w:pPr>
        <w:snapToGrid w:val="0"/>
        <w:spacing w:line="600" w:lineRule="exact"/>
        <w:jc w:val="left"/>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 xml:space="preserve">    2.公共外语教育学院、马克思主义学院、体育学院以基础教学为主的学院教师、教辅用房参考</w:t>
      </w:r>
      <w:r>
        <w:rPr>
          <w:rFonts w:hint="eastAsia" w:ascii="微软雅黑" w:hAnsi="微软雅黑" w:eastAsia="微软雅黑" w:cs="微软雅黑"/>
          <w:sz w:val="24"/>
          <w:szCs w:val="24"/>
        </w:rPr>
        <w:t>《普通高校建筑规划面积指标》</w:t>
      </w:r>
      <w:r>
        <w:rPr>
          <w:rFonts w:hint="eastAsia" w:ascii="微软雅黑" w:hAnsi="微软雅黑" w:eastAsia="微软雅黑" w:cs="微软雅黑"/>
          <w:bCs/>
          <w:sz w:val="24"/>
          <w:szCs w:val="24"/>
        </w:rPr>
        <w:t>（92定额）来确定，定额标准如下：</w:t>
      </w:r>
    </w:p>
    <w:p>
      <w:pPr>
        <w:snapToGrid w:val="0"/>
        <w:spacing w:line="600" w:lineRule="exact"/>
        <w:jc w:val="left"/>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 xml:space="preserve">    计算公式：</w:t>
      </w:r>
    </w:p>
    <w:p>
      <w:pPr>
        <w:adjustRightInd w:val="0"/>
        <w:snapToGrid w:val="0"/>
        <w:spacing w:line="600" w:lineRule="exact"/>
        <w:ind w:firstLine="480" w:firstLineChars="200"/>
        <w:jc w:val="left"/>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教师、教辅用房面积（㎡）= 学生人数（自然规模）×M（㎡/生）×1.06</w:t>
      </w:r>
    </w:p>
    <w:p>
      <w:pPr>
        <w:snapToGrid w:val="0"/>
        <w:spacing w:line="600" w:lineRule="exact"/>
        <w:ind w:firstLine="480" w:firstLineChars="200"/>
        <w:jc w:val="left"/>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其中M（㎡/生）为：公共外语教育学院取1.48㎡/生、马克思主义学院取1.29㎡/生、体育学院取1.68㎡/生。</w:t>
      </w:r>
    </w:p>
    <w:p>
      <w:pPr>
        <w:snapToGrid w:val="0"/>
        <w:spacing w:line="6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bCs/>
          <w:sz w:val="24"/>
          <w:szCs w:val="24"/>
        </w:rPr>
        <w:t>“1.06”为高寒地区面积补贴值。</w:t>
      </w:r>
    </w:p>
    <w:p>
      <w:pPr>
        <w:snapToGrid w:val="0"/>
        <w:spacing w:line="60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（三）资料室、会议室用房定额面积标准（测算时采用插值确定）：</w:t>
      </w:r>
    </w:p>
    <w:tbl>
      <w:tblPr>
        <w:tblStyle w:val="8"/>
        <w:tblpPr w:leftFromText="180" w:rightFromText="180" w:vertAnchor="text" w:horzAnchor="margin" w:tblpXSpec="center" w:tblpY="22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1440"/>
        <w:gridCol w:w="1658"/>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230" w:type="dxa"/>
            <w:vAlign w:val="bottom"/>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人数</w:t>
            </w:r>
          </w:p>
        </w:tc>
        <w:tc>
          <w:tcPr>
            <w:tcW w:w="1440" w:type="dxa"/>
            <w:vAlign w:val="bottom"/>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≦50</w:t>
            </w:r>
          </w:p>
        </w:tc>
        <w:tc>
          <w:tcPr>
            <w:tcW w:w="1658" w:type="dxa"/>
            <w:vAlign w:val="bottom"/>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100</w:t>
            </w:r>
          </w:p>
        </w:tc>
        <w:tc>
          <w:tcPr>
            <w:tcW w:w="1800" w:type="dxa"/>
            <w:vAlign w:val="bottom"/>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300</w:t>
            </w:r>
          </w:p>
        </w:tc>
        <w:tc>
          <w:tcPr>
            <w:tcW w:w="1800" w:type="dxa"/>
            <w:vAlign w:val="bottom"/>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230" w:type="dxa"/>
            <w:vAlign w:val="bottom"/>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定额面积(㎡)</w:t>
            </w:r>
          </w:p>
        </w:tc>
        <w:tc>
          <w:tcPr>
            <w:tcW w:w="1440" w:type="dxa"/>
            <w:vAlign w:val="bottom"/>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75</w:t>
            </w:r>
          </w:p>
        </w:tc>
        <w:tc>
          <w:tcPr>
            <w:tcW w:w="1658" w:type="dxa"/>
            <w:vAlign w:val="bottom"/>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150</w:t>
            </w:r>
          </w:p>
        </w:tc>
        <w:tc>
          <w:tcPr>
            <w:tcW w:w="1800" w:type="dxa"/>
            <w:tcBorders>
              <w:bottom w:val="single" w:color="auto" w:sz="4" w:space="0"/>
            </w:tcBorders>
            <w:vAlign w:val="bottom"/>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250</w:t>
            </w:r>
          </w:p>
        </w:tc>
        <w:tc>
          <w:tcPr>
            <w:tcW w:w="1800" w:type="dxa"/>
            <w:tcBorders>
              <w:bottom w:val="single" w:color="auto" w:sz="4" w:space="0"/>
            </w:tcBorders>
            <w:vAlign w:val="bottom"/>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400</w:t>
            </w:r>
          </w:p>
        </w:tc>
      </w:tr>
    </w:tbl>
    <w:p>
      <w:pPr>
        <w:ind w:firstLine="480" w:firstLineChars="200"/>
        <w:rPr>
          <w:rFonts w:hint="eastAsia" w:ascii="微软雅黑" w:hAnsi="微软雅黑" w:eastAsia="微软雅黑" w:cs="微软雅黑"/>
          <w:bCs/>
          <w:sz w:val="24"/>
          <w:szCs w:val="24"/>
          <w:vertAlign w:val="subscript"/>
        </w:rPr>
      </w:pPr>
      <w:r>
        <w:rPr>
          <w:rFonts w:hint="eastAsia" w:ascii="微软雅黑" w:hAnsi="微软雅黑" w:eastAsia="微软雅黑" w:cs="微软雅黑"/>
          <w:bCs/>
          <w:sz w:val="24"/>
          <w:szCs w:val="24"/>
        </w:rPr>
        <w:t>办公及教师用房定额计算公式如下:</w:t>
      </w:r>
    </w:p>
    <w:p>
      <w:pPr>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办公及教师用房定额面积（㎡）=（B1×18+B2×12+B3×9）+教师、教辅用房定额面积+资料室、会议室用房定额面积。</w:t>
      </w:r>
    </w:p>
    <w:p>
      <w:pPr>
        <w:keepNext/>
        <w:widowControl/>
        <w:snapToGrid w:val="0"/>
        <w:jc w:val="center"/>
        <w:rPr>
          <w:rFonts w:hint="eastAsia" w:ascii="微软雅黑" w:hAnsi="微软雅黑" w:eastAsia="微软雅黑" w:cs="微软雅黑"/>
          <w:bCs/>
          <w:sz w:val="24"/>
          <w:szCs w:val="24"/>
        </w:rPr>
      </w:pPr>
      <w:r>
        <w:rPr>
          <w:rFonts w:hint="eastAsia" w:ascii="微软雅黑" w:hAnsi="微软雅黑" w:eastAsia="微软雅黑" w:cs="微软雅黑"/>
          <w:b/>
          <w:bCs/>
          <w:sz w:val="24"/>
          <w:szCs w:val="24"/>
        </w:rPr>
        <w:t xml:space="preserve">第五章 </w:t>
      </w:r>
      <w:r>
        <w:rPr>
          <w:rFonts w:hint="eastAsia" w:ascii="微软雅黑" w:hAnsi="微软雅黑" w:eastAsia="微软雅黑" w:cs="微软雅黑"/>
          <w:bCs/>
          <w:sz w:val="24"/>
          <w:szCs w:val="24"/>
        </w:rPr>
        <w:t xml:space="preserve"> </w:t>
      </w:r>
      <w:r>
        <w:rPr>
          <w:rFonts w:hint="eastAsia" w:ascii="微软雅黑" w:hAnsi="微软雅黑" w:eastAsia="微软雅黑" w:cs="微软雅黑"/>
          <w:b/>
          <w:bCs/>
          <w:sz w:val="24"/>
          <w:szCs w:val="24"/>
        </w:rPr>
        <w:t>教学单位和独立科研机构的学生服务用房</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第九条 </w:t>
      </w:r>
      <w:r>
        <w:rPr>
          <w:rFonts w:hint="eastAsia" w:ascii="微软雅黑" w:hAnsi="微软雅黑" w:eastAsia="微软雅黑" w:cs="微软雅黑"/>
          <w:sz w:val="24"/>
          <w:szCs w:val="24"/>
        </w:rPr>
        <w:t>学生服务用房是指团委、学生会、学生社团、心理咨询、帮困助学等办公业务用房，文娱活动用房等。</w:t>
      </w:r>
    </w:p>
    <w:p>
      <w:pPr>
        <w:spacing w:line="360" w:lineRule="auto"/>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学生服务用房定额标准（测算时采用插值确定）：</w:t>
      </w:r>
    </w:p>
    <w:tbl>
      <w:tblPr>
        <w:tblStyle w:val="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134"/>
        <w:gridCol w:w="1276"/>
        <w:gridCol w:w="1275"/>
        <w:gridCol w:w="127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2268"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学生数</w:t>
            </w:r>
          </w:p>
        </w:tc>
        <w:tc>
          <w:tcPr>
            <w:tcW w:w="1134"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≦300</w:t>
            </w:r>
          </w:p>
        </w:tc>
        <w:tc>
          <w:tcPr>
            <w:tcW w:w="1276"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1000</w:t>
            </w:r>
          </w:p>
        </w:tc>
        <w:tc>
          <w:tcPr>
            <w:tcW w:w="1275"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2000</w:t>
            </w:r>
          </w:p>
        </w:tc>
        <w:tc>
          <w:tcPr>
            <w:tcW w:w="1276"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3000</w:t>
            </w:r>
          </w:p>
        </w:tc>
        <w:tc>
          <w:tcPr>
            <w:tcW w:w="1560"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268" w:type="dxa"/>
            <w:shd w:val="clear" w:color="auto" w:fill="auto"/>
            <w:vAlign w:val="center"/>
          </w:tcPr>
          <w:p>
            <w:pPr>
              <w:ind w:right="56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 xml:space="preserve"> 定额面积</w:t>
            </w:r>
          </w:p>
          <w:p>
            <w:pPr>
              <w:ind w:right="560"/>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w:t>
            </w:r>
          </w:p>
        </w:tc>
        <w:tc>
          <w:tcPr>
            <w:tcW w:w="1134"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100</w:t>
            </w:r>
          </w:p>
        </w:tc>
        <w:tc>
          <w:tcPr>
            <w:tcW w:w="1276"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200</w:t>
            </w:r>
          </w:p>
        </w:tc>
        <w:tc>
          <w:tcPr>
            <w:tcW w:w="1275"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300</w:t>
            </w:r>
          </w:p>
        </w:tc>
        <w:tc>
          <w:tcPr>
            <w:tcW w:w="1276"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380</w:t>
            </w:r>
          </w:p>
        </w:tc>
        <w:tc>
          <w:tcPr>
            <w:tcW w:w="1560" w:type="dxa"/>
            <w:shd w:val="clear" w:color="auto" w:fill="auto"/>
            <w:vAlign w:val="center"/>
          </w:tcPr>
          <w:p>
            <w:pPr>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520</w:t>
            </w:r>
          </w:p>
        </w:tc>
      </w:tr>
    </w:tbl>
    <w:p>
      <w:pPr>
        <w:snapToGrid w:val="0"/>
        <w:spacing w:before="309" w:beforeLines="50"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第六章</w:t>
      </w:r>
      <w:r>
        <w:rPr>
          <w:rFonts w:hint="eastAsia" w:ascii="微软雅黑" w:hAnsi="微软雅黑" w:eastAsia="微软雅黑" w:cs="微软雅黑"/>
          <w:sz w:val="24"/>
          <w:szCs w:val="24"/>
        </w:rPr>
        <w:t xml:space="preserve">  </w:t>
      </w:r>
      <w:r>
        <w:rPr>
          <w:rFonts w:hint="eastAsia" w:ascii="微软雅黑" w:hAnsi="微软雅黑" w:eastAsia="微软雅黑" w:cs="微软雅黑"/>
          <w:b/>
          <w:bCs/>
          <w:sz w:val="24"/>
          <w:szCs w:val="24"/>
        </w:rPr>
        <w:t>有偿使用和收费管理</w:t>
      </w:r>
    </w:p>
    <w:p>
      <w:pPr>
        <w:snapToGrid w:val="0"/>
        <w:spacing w:line="600" w:lineRule="exact"/>
        <w:ind w:firstLine="6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第十条</w:t>
      </w:r>
      <w:r>
        <w:rPr>
          <w:rFonts w:hint="eastAsia" w:ascii="微软雅黑" w:hAnsi="微软雅黑" w:eastAsia="微软雅黑" w:cs="微软雅黑"/>
          <w:sz w:val="24"/>
          <w:szCs w:val="24"/>
        </w:rPr>
        <w:t xml:space="preserve"> 为推进公用房资源的有效利用，逐步实现“以楼养楼”的良性管理模式，学校收取的教学单位和独立科研机构的房产资源使用费，定额面积内收费的50%返还给各交费单位，要求专款专用；其中10%用于房屋维修（不足部分由各单位自己承担），20%用于物业管理，70%作为单位的建设经费。定额面积内所收房产资源使用费的其余50%以及超定额面积的房产资源使用费纳入校级预算，作为学校公有房产专项资金。</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第十一条</w:t>
      </w:r>
      <w:r>
        <w:rPr>
          <w:rFonts w:hint="eastAsia" w:ascii="微软雅黑" w:hAnsi="微软雅黑" w:eastAsia="微软雅黑" w:cs="微软雅黑"/>
          <w:sz w:val="24"/>
          <w:szCs w:val="24"/>
        </w:rPr>
        <w:t xml:space="preserve"> 有偿使用的用房按使用面积收取房产资源使用费（生产经营类用房除外）。 本细则所指“使用面积”为房间内面积，不包括门厅、走廊、楼梯、卫生间等公共使用面积，单位为平方米。</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第十二条</w:t>
      </w:r>
      <w:r>
        <w:rPr>
          <w:rFonts w:hint="eastAsia" w:ascii="微软雅黑" w:hAnsi="微软雅黑" w:eastAsia="微软雅黑" w:cs="微软雅黑"/>
          <w:bCs/>
          <w:sz w:val="24"/>
          <w:szCs w:val="24"/>
        </w:rPr>
        <w:t xml:space="preserve"> </w:t>
      </w:r>
      <w:r>
        <w:rPr>
          <w:rFonts w:hint="eastAsia" w:ascii="微软雅黑" w:hAnsi="微软雅黑" w:eastAsia="微软雅黑" w:cs="微软雅黑"/>
          <w:sz w:val="24"/>
          <w:szCs w:val="24"/>
        </w:rPr>
        <w:t>各单位经测算需缴纳房产资源费的公用房为有偿使用，不论房屋的所处地域、建筑标准、新旧程度，一律按交费标准缴纳房产资源费。</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第十三条</w:t>
      </w:r>
      <w:r>
        <w:rPr>
          <w:rFonts w:hint="eastAsia" w:ascii="微软雅黑" w:hAnsi="微软雅黑" w:eastAsia="微软雅黑" w:cs="微软雅黑"/>
          <w:sz w:val="24"/>
          <w:szCs w:val="24"/>
        </w:rPr>
        <w:t xml:space="preserve"> 改革试行阶段，房产资源使用费采用超定额阶梯收费的模式，收费标准为：</w:t>
      </w:r>
    </w:p>
    <w:p>
      <w:pPr>
        <w:snapToGrid w:val="0"/>
        <w:spacing w:line="600" w:lineRule="exact"/>
        <w:ind w:firstLine="480" w:firstLineChars="200"/>
        <w:rPr>
          <w:rFonts w:hint="eastAsia" w:ascii="微软雅黑" w:hAnsi="微软雅黑" w:eastAsia="微软雅黑" w:cs="微软雅黑"/>
          <w:sz w:val="24"/>
          <w:szCs w:val="24"/>
        </w:rPr>
      </w:pPr>
    </w:p>
    <w:tbl>
      <w:tblPr>
        <w:tblStyle w:val="8"/>
        <w:tblW w:w="8322" w:type="dxa"/>
        <w:jc w:val="center"/>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3" w:type="dxa"/>
            <w:vAlign w:val="top"/>
          </w:tcPr>
          <w:p>
            <w:pPr>
              <w:snapToGrid w:val="0"/>
              <w:spacing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梯度划分标准</w:t>
            </w:r>
          </w:p>
        </w:tc>
        <w:tc>
          <w:tcPr>
            <w:tcW w:w="4109" w:type="dxa"/>
            <w:vAlign w:val="top"/>
          </w:tcPr>
          <w:p>
            <w:pPr>
              <w:snapToGrid w:val="0"/>
              <w:spacing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3" w:type="dxa"/>
            <w:vAlign w:val="top"/>
          </w:tcPr>
          <w:p>
            <w:pPr>
              <w:snapToGrid w:val="0"/>
              <w:spacing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超出定额比例≦40%</w:t>
            </w:r>
          </w:p>
        </w:tc>
        <w:tc>
          <w:tcPr>
            <w:tcW w:w="4109" w:type="dxa"/>
            <w:vAlign w:val="top"/>
          </w:tcPr>
          <w:p>
            <w:pPr>
              <w:snapToGrid w:val="0"/>
              <w:spacing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10元/㎡</w:t>
            </w:r>
            <w:r>
              <w:rPr>
                <w:rFonts w:hint="eastAsia" w:ascii="微软雅黑" w:hAnsi="微软雅黑" w:eastAsia="微软雅黑" w:cs="微软雅黑"/>
                <w:sz w:val="24"/>
                <w:szCs w:val="24"/>
              </w:rPr>
              <w:sym w:font="Wingdings" w:char="009F"/>
            </w:r>
            <w:r>
              <w:rPr>
                <w:rFonts w:hint="eastAsia" w:ascii="微软雅黑" w:hAnsi="微软雅黑" w:eastAsia="微软雅黑" w:cs="微软雅黑"/>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3" w:type="dxa"/>
            <w:vAlign w:val="top"/>
          </w:tcPr>
          <w:p>
            <w:pPr>
              <w:snapToGrid w:val="0"/>
              <w:spacing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40%&lt;超出定额比例≦60%</w:t>
            </w:r>
          </w:p>
        </w:tc>
        <w:tc>
          <w:tcPr>
            <w:tcW w:w="4109" w:type="dxa"/>
            <w:vAlign w:val="top"/>
          </w:tcPr>
          <w:p>
            <w:pPr>
              <w:snapToGrid w:val="0"/>
              <w:spacing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20元/㎡</w:t>
            </w:r>
            <w:r>
              <w:rPr>
                <w:rFonts w:hint="eastAsia" w:ascii="微软雅黑" w:hAnsi="微软雅黑" w:eastAsia="微软雅黑" w:cs="微软雅黑"/>
                <w:sz w:val="24"/>
                <w:szCs w:val="24"/>
              </w:rPr>
              <w:sym w:font="Wingdings" w:char="009F"/>
            </w:r>
            <w:r>
              <w:rPr>
                <w:rFonts w:hint="eastAsia" w:ascii="微软雅黑" w:hAnsi="微软雅黑" w:eastAsia="微软雅黑" w:cs="微软雅黑"/>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3" w:type="dxa"/>
            <w:vAlign w:val="top"/>
          </w:tcPr>
          <w:p>
            <w:pPr>
              <w:snapToGrid w:val="0"/>
              <w:spacing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60%&lt;超出定额比例≦100%</w:t>
            </w:r>
          </w:p>
        </w:tc>
        <w:tc>
          <w:tcPr>
            <w:tcW w:w="4109" w:type="dxa"/>
            <w:vAlign w:val="top"/>
          </w:tcPr>
          <w:p>
            <w:pPr>
              <w:snapToGrid w:val="0"/>
              <w:spacing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30元/㎡</w:t>
            </w:r>
            <w:r>
              <w:rPr>
                <w:rFonts w:hint="eastAsia" w:ascii="微软雅黑" w:hAnsi="微软雅黑" w:eastAsia="微软雅黑" w:cs="微软雅黑"/>
                <w:sz w:val="24"/>
                <w:szCs w:val="24"/>
              </w:rPr>
              <w:sym w:font="Wingdings" w:char="009F"/>
            </w:r>
            <w:r>
              <w:rPr>
                <w:rFonts w:hint="eastAsia" w:ascii="微软雅黑" w:hAnsi="微软雅黑" w:eastAsia="微软雅黑" w:cs="微软雅黑"/>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3" w:type="dxa"/>
            <w:vAlign w:val="top"/>
          </w:tcPr>
          <w:p>
            <w:pPr>
              <w:snapToGrid w:val="0"/>
              <w:spacing w:line="60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100%&lt;超出定额比例</w:t>
            </w:r>
          </w:p>
        </w:tc>
        <w:tc>
          <w:tcPr>
            <w:tcW w:w="4109" w:type="dxa"/>
            <w:vAlign w:val="top"/>
          </w:tcPr>
          <w:p>
            <w:pPr>
              <w:snapToGrid w:val="0"/>
              <w:spacing w:line="60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60元/㎡</w:t>
            </w:r>
            <w:r>
              <w:rPr>
                <w:rFonts w:hint="eastAsia" w:ascii="微软雅黑" w:hAnsi="微软雅黑" w:eastAsia="微软雅黑" w:cs="微软雅黑"/>
                <w:sz w:val="24"/>
                <w:szCs w:val="24"/>
              </w:rPr>
              <w:sym w:font="Wingdings" w:char="009F"/>
            </w:r>
            <w:r>
              <w:rPr>
                <w:rFonts w:hint="eastAsia" w:ascii="微软雅黑" w:hAnsi="微软雅黑" w:eastAsia="微软雅黑" w:cs="微软雅黑"/>
                <w:sz w:val="24"/>
                <w:szCs w:val="24"/>
              </w:rPr>
              <w:t>月</w:t>
            </w:r>
          </w:p>
        </w:tc>
      </w:tr>
    </w:tbl>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无论各单位是否超出总的定额，激励科研面积都要收费，收费标准为10元/㎡</w:t>
      </w:r>
      <w:r>
        <w:rPr>
          <w:rFonts w:hint="eastAsia" w:ascii="微软雅黑" w:hAnsi="微软雅黑" w:eastAsia="微软雅黑" w:cs="微软雅黑"/>
          <w:sz w:val="24"/>
          <w:szCs w:val="24"/>
        </w:rPr>
        <w:sym w:font="Wingdings" w:char="009F"/>
      </w:r>
      <w:r>
        <w:rPr>
          <w:rFonts w:hint="eastAsia" w:ascii="微软雅黑" w:hAnsi="微软雅黑" w:eastAsia="微软雅黑" w:cs="微软雅黑"/>
          <w:sz w:val="24"/>
          <w:szCs w:val="24"/>
        </w:rPr>
        <w:t>月。收费标准随着学校事业的发展和市场价格的变化，依据学校公房改革政策适当调整。</w:t>
      </w:r>
    </w:p>
    <w:p>
      <w:pPr>
        <w:snapToGrid w:val="0"/>
        <w:spacing w:line="600" w:lineRule="exact"/>
        <w:rPr>
          <w:rFonts w:hint="eastAsia" w:ascii="微软雅黑" w:hAnsi="微软雅黑" w:eastAsia="微软雅黑" w:cs="微软雅黑"/>
          <w:sz w:val="24"/>
          <w:szCs w:val="24"/>
        </w:rPr>
      </w:pPr>
      <w:r>
        <w:rPr>
          <w:rFonts w:hint="eastAsia" w:ascii="微软雅黑" w:hAnsi="微软雅黑" w:eastAsia="微软雅黑" w:cs="微软雅黑"/>
          <w:bCs/>
          <w:sz w:val="24"/>
          <w:szCs w:val="24"/>
        </w:rPr>
        <w:t xml:space="preserve">    </w:t>
      </w:r>
      <w:r>
        <w:rPr>
          <w:rFonts w:hint="eastAsia" w:ascii="微软雅黑" w:hAnsi="微软雅黑" w:eastAsia="微软雅黑" w:cs="微软雅黑"/>
          <w:b/>
          <w:sz w:val="24"/>
          <w:szCs w:val="24"/>
        </w:rPr>
        <w:t>第十四条</w:t>
      </w:r>
      <w:r>
        <w:rPr>
          <w:rFonts w:hint="eastAsia" w:ascii="微软雅黑" w:hAnsi="微软雅黑" w:eastAsia="微软雅黑" w:cs="微软雅黑"/>
          <w:sz w:val="24"/>
          <w:szCs w:val="24"/>
        </w:rPr>
        <w:t xml:space="preserve"> 房产资源使用费采用“收支两条线”，由资产管理与后勤处负责各二级单位房产资源使用费的核算，由财务处牵头制定收支细则。</w:t>
      </w:r>
    </w:p>
    <w:p>
      <w:pPr>
        <w:snapToGrid w:val="0"/>
        <w:spacing w:before="309" w:beforeLines="50" w:line="600" w:lineRule="exact"/>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 第七章   附则</w:t>
      </w:r>
    </w:p>
    <w:p>
      <w:pPr>
        <w:snapToGrid w:val="0"/>
        <w:spacing w:line="60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
          <w:sz w:val="24"/>
          <w:szCs w:val="24"/>
        </w:rPr>
        <w:t>第十五条</w:t>
      </w:r>
      <w:r>
        <w:rPr>
          <w:rFonts w:hint="eastAsia" w:ascii="微软雅黑" w:hAnsi="微软雅黑" w:eastAsia="微软雅黑" w:cs="微软雅黑"/>
          <w:sz w:val="24"/>
          <w:szCs w:val="24"/>
        </w:rPr>
        <w:t xml:space="preserve"> </w:t>
      </w:r>
      <w:r>
        <w:rPr>
          <w:rFonts w:hint="eastAsia" w:ascii="微软雅黑" w:hAnsi="微软雅黑" w:eastAsia="微软雅黑" w:cs="微软雅黑"/>
          <w:bCs/>
          <w:sz w:val="24"/>
          <w:szCs w:val="24"/>
        </w:rPr>
        <w:t>本细则只是学校对各学院和独立科研机构测算面积的依据，不作为各单位内部调配的依据。学校赋权给各单位自行制定政策，各单位分配用房时应根据自身情况制定内部分配算法。</w:t>
      </w:r>
    </w:p>
    <w:p>
      <w:pPr>
        <w:snapToGrid w:val="0"/>
        <w:spacing w:line="600" w:lineRule="exact"/>
        <w:rPr>
          <w:rFonts w:hint="eastAsia" w:ascii="微软雅黑" w:hAnsi="微软雅黑" w:eastAsia="微软雅黑" w:cs="微软雅黑"/>
          <w:sz w:val="24"/>
          <w:szCs w:val="24"/>
        </w:rPr>
      </w:pPr>
      <w:r>
        <w:rPr>
          <w:rFonts w:hint="eastAsia" w:ascii="微软雅黑" w:hAnsi="微软雅黑" w:eastAsia="微软雅黑" w:cs="微软雅黑"/>
          <w:b/>
          <w:sz w:val="24"/>
          <w:szCs w:val="24"/>
        </w:rPr>
        <w:t xml:space="preserve">    第十六条 </w:t>
      </w:r>
      <w:r>
        <w:rPr>
          <w:rFonts w:hint="eastAsia" w:ascii="微软雅黑" w:hAnsi="微软雅黑" w:eastAsia="微软雅黑" w:cs="微软雅黑"/>
          <w:sz w:val="24"/>
          <w:szCs w:val="24"/>
        </w:rPr>
        <w:t>本细则由资产管理与后勤处负责解释。</w:t>
      </w:r>
    </w:p>
    <w:p>
      <w:pPr>
        <w:snapToGrid w:val="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sz w:val="24"/>
          <w:szCs w:val="24"/>
        </w:rPr>
        <w:t xml:space="preserve">第十七条 </w:t>
      </w:r>
      <w:r>
        <w:rPr>
          <w:rFonts w:hint="eastAsia" w:ascii="微软雅黑" w:hAnsi="微软雅黑" w:eastAsia="微软雅黑" w:cs="微软雅黑"/>
          <w:sz w:val="24"/>
          <w:szCs w:val="24"/>
        </w:rPr>
        <w:t>本细则自发布之日起执行。</w:t>
      </w:r>
    </w:p>
    <w:p>
      <w:pPr>
        <w:jc w:val="center"/>
        <w:rPr>
          <w:rFonts w:hint="eastAsia" w:ascii="微软雅黑" w:hAnsi="微软雅黑" w:eastAsia="微软雅黑" w:cs="微软雅黑"/>
          <w:b/>
          <w:bCs/>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ladimir Script">
    <w:panose1 w:val="03050402040407070305"/>
    <w:charset w:val="00"/>
    <w:family w:val="auto"/>
    <w:pitch w:val="default"/>
    <w:sig w:usb0="00000003" w:usb1="00000000" w:usb2="00000000" w:usb3="00000000" w:csb0="20000001" w:csb1="00000000"/>
  </w:font>
  <w:font w:name="Kozuka Mincho Pro EL">
    <w:panose1 w:val="02020200000000000000"/>
    <w:charset w:val="80"/>
    <w:family w:val="auto"/>
    <w:pitch w:val="default"/>
    <w:sig w:usb0="00000083" w:usb1="2AC71C11" w:usb2="00000012" w:usb3="00000000" w:csb0="20020005"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sto MT">
    <w:panose1 w:val="02040603050505030304"/>
    <w:charset w:val="00"/>
    <w:family w:val="roman"/>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83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sto MT" w:hAnsi="Calisto MT"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page number"/>
    <w:basedOn w:val="5"/>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2018-06-07T13:02:37Z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