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cs="Times New Roman"/>
          <w:kern w:val="2"/>
          <w:sz w:val="32"/>
        </w:rPr>
      </w:pPr>
    </w:p>
    <w:p>
      <w:pPr>
        <w:pStyle w:val="7"/>
        <w:spacing w:before="0" w:beforeAutospacing="0" w:after="0" w:afterAutospacing="0"/>
        <w:jc w:val="center"/>
        <w:rPr>
          <w:rFonts w:hint="eastAsia" w:ascii="仿宋_GB2312" w:eastAsia="仿宋_GB2312" w:cs="Times New Roman"/>
          <w:kern w:val="2"/>
          <w:sz w:val="32"/>
        </w:rPr>
      </w:pPr>
      <w:bookmarkStart w:id="0" w:name="OLE_LINK3"/>
      <w:bookmarkStart w:id="1" w:name="OLE_LINK1"/>
      <w:r>
        <w:rPr>
          <w:rFonts w:hint="eastAsia" w:ascii="仿宋_GB2312" w:eastAsia="仿宋_GB2312" w:cs="Times New Roman"/>
          <w:kern w:val="2"/>
          <w:sz w:val="32"/>
        </w:rPr>
        <w:t>校发〔2018〕380号</w:t>
      </w:r>
    </w:p>
    <w:p>
      <w:pPr>
        <w:pStyle w:val="7"/>
        <w:spacing w:before="0" w:beforeAutospacing="0" w:after="0" w:afterAutospacing="0"/>
        <w:jc w:val="center"/>
        <w:rPr>
          <w:rFonts w:hint="eastAsia" w:ascii="仿宋_GB2312" w:eastAsia="仿宋_GB2312"/>
          <w:sz w:val="30"/>
          <w:szCs w:val="30"/>
        </w:rPr>
      </w:pPr>
    </w:p>
    <w:p>
      <w:pPr>
        <w:widowControl/>
        <w:shd w:val="clear" w:color="auto" w:fill="FFFFFF" w:themeFill="background1"/>
        <w:spacing w:line="480" w:lineRule="atLeast"/>
        <w:jc w:val="center"/>
        <w:rPr>
          <w:rFonts w:hint="eastAsia" w:ascii="方正小标宋简体" w:hAnsi="΢   ź" w:eastAsia="方正小标宋简体" w:cs="宋体"/>
          <w:b/>
          <w:bCs/>
          <w:kern w:val="0"/>
          <w:sz w:val="36"/>
          <w:szCs w:val="36"/>
        </w:rPr>
      </w:pPr>
      <w:r>
        <w:rPr>
          <w:rFonts w:hint="eastAsia" w:ascii="方正小标宋简体" w:hAnsi="΢���ź�" w:eastAsia="方正小标宋简体" w:cs="宋体"/>
          <w:b w:val="0"/>
          <w:bCs w:val="0"/>
          <w:kern w:val="0"/>
          <w:sz w:val="36"/>
          <w:szCs w:val="36"/>
        </w:rPr>
        <w:t>关于印发《吉林大学通用办公设备家具配置标准》的通知</w:t>
      </w:r>
    </w:p>
    <w:p>
      <w:pPr>
        <w:widowControl/>
        <w:shd w:val="clear" w:color="auto" w:fill="FFFFFF"/>
        <w:spacing w:line="450" w:lineRule="atLeas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p>
      <w:pPr>
        <w:widowControl/>
        <w:shd w:val="clear" w:color="auto" w:fill="FFFFFF" w:themeFill="background1"/>
        <w:wordWrap w:val="0"/>
        <w:spacing w:line="450" w:lineRule="atLeast"/>
        <w:jc w:val="left"/>
        <w:rPr>
          <w:rFonts w:hint="eastAsia" w:ascii="仿宋_GB2312" w:hAnsi="宋体" w:eastAsia="仿宋_GB2312" w:cs="宋体"/>
          <w:color w:val="454545"/>
          <w:kern w:val="0"/>
        </w:rPr>
      </w:pPr>
      <w:r>
        <w:rPr>
          <w:rFonts w:hint="eastAsia" w:ascii="宋体" w:hAnsi="宋体" w:cs="宋体"/>
          <w:color w:val="454545"/>
          <w:kern w:val="0"/>
          <w:sz w:val="24"/>
          <w:szCs w:val="24"/>
        </w:rPr>
        <w:br w:type="textWrapping"/>
      </w:r>
      <w:bookmarkEnd w:id="0"/>
      <w:bookmarkEnd w:id="1"/>
      <w:r>
        <w:rPr>
          <w:rFonts w:hint="eastAsia" w:ascii="仿宋_GB2312" w:hAnsi="宋体" w:eastAsia="仿宋_GB2312" w:cs="宋体"/>
          <w:color w:val="454545"/>
          <w:kern w:val="0"/>
        </w:rPr>
        <w:t>校内各单位：</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w:t>
      </w:r>
      <w:r>
        <w:rPr>
          <w:rFonts w:hint="eastAsia" w:ascii="仿宋_GB2312" w:hAnsi="΢���ź�" w:eastAsia="仿宋_GB2312" w:cs="宋体"/>
          <w:bCs/>
          <w:kern w:val="0"/>
        </w:rPr>
        <w:t>吉林大学通用办公设备家具配置标准</w:t>
      </w:r>
      <w:r>
        <w:rPr>
          <w:rFonts w:hint="eastAsia" w:ascii="仿宋_GB2312" w:hAnsi="宋体" w:eastAsia="仿宋_GB2312" w:cs="宋体"/>
          <w:color w:val="454545"/>
          <w:kern w:val="0"/>
        </w:rPr>
        <w:t>》</w:t>
      </w:r>
      <w:r>
        <w:rPr>
          <w:rFonts w:hint="eastAsia" w:ascii="仿宋_GB2312" w:eastAsia="仿宋_GB2312" w:cs="Arial" w:hAnsiTheme="majorEastAsia"/>
          <w:color w:val="000000" w:themeColor="text1"/>
          <w:kern w:val="0"/>
        </w:rPr>
        <w:t>（校发</w:t>
      </w:r>
      <w:r>
        <w:rPr>
          <w:rFonts w:hint="eastAsia" w:ascii="仿宋_GB2312" w:eastAsia="仿宋_GB2312" w:cs="Arial" w:hAnsiTheme="majorEastAsia"/>
          <w:color w:val="000000" w:themeColor="text1"/>
          <w:spacing w:val="-9"/>
        </w:rPr>
        <w:t>〔2018〕</w:t>
      </w:r>
      <w:r>
        <w:rPr>
          <w:rFonts w:hint="eastAsia" w:ascii="仿宋_GB2312" w:eastAsia="仿宋_GB2312" w:cs="Arial" w:hAnsiTheme="majorEastAsia"/>
          <w:color w:val="000000" w:themeColor="text1"/>
          <w:kern w:val="0"/>
        </w:rPr>
        <w:t>380号）</w:t>
      </w:r>
      <w:r>
        <w:rPr>
          <w:rFonts w:hint="eastAsia" w:ascii="仿宋_GB2312" w:hAnsi="宋体" w:eastAsia="仿宋_GB2312" w:cs="宋体"/>
          <w:color w:val="454545"/>
          <w:kern w:val="0"/>
        </w:rPr>
        <w:t>经2018年7月15日第十四次校长办公会议讨论通过，现予以印发，请遵照执行。</w:t>
      </w:r>
    </w:p>
    <w:p>
      <w:pPr>
        <w:widowControl/>
        <w:shd w:val="clear" w:color="auto" w:fill="FFFFFF" w:themeFill="background1"/>
        <w:wordWrap w:val="0"/>
        <w:spacing w:line="450" w:lineRule="atLeast"/>
        <w:jc w:val="left"/>
        <w:rPr>
          <w:rFonts w:hint="eastAsia" w:ascii="仿宋_GB2312" w:hAnsi="宋体" w:eastAsia="仿宋_GB2312" w:cs="宋体"/>
          <w:color w:val="454545"/>
          <w:kern w:val="0"/>
        </w:rPr>
      </w:pPr>
    </w:p>
    <w:p>
      <w:pPr>
        <w:widowControl/>
        <w:shd w:val="clear" w:color="auto" w:fill="FFFFFF" w:themeFill="background1"/>
        <w:wordWrap w:val="0"/>
        <w:spacing w:line="450" w:lineRule="atLeast"/>
        <w:ind w:firstLine="632" w:firstLineChars="200"/>
        <w:jc w:val="left"/>
        <w:rPr>
          <w:rFonts w:hint="eastAsia" w:ascii="仿宋_GB2312" w:hAnsi="宋体" w:eastAsia="仿宋_GB2312" w:cs="宋体"/>
          <w:color w:val="454545"/>
          <w:kern w:val="0"/>
        </w:rPr>
      </w:pPr>
      <w:r>
        <w:rPr>
          <w:rFonts w:hint="eastAsia" w:ascii="仿宋_GB2312" w:hAnsi="宋体" w:eastAsia="仿宋_GB2312" w:cs="宋体"/>
          <w:color w:val="454545"/>
          <w:kern w:val="0"/>
        </w:rPr>
        <w:t>附件：《</w:t>
      </w:r>
      <w:r>
        <w:rPr>
          <w:rFonts w:hint="eastAsia" w:ascii="仿宋_GB2312" w:hAnsi="΢���ź�" w:eastAsia="仿宋_GB2312" w:cs="宋体"/>
          <w:bCs/>
          <w:kern w:val="0"/>
        </w:rPr>
        <w:t>吉林大学通用办公设备家具配置标准</w:t>
      </w:r>
      <w:r>
        <w:rPr>
          <w:rFonts w:hint="eastAsia" w:ascii="仿宋_GB2312" w:hAnsi="宋体" w:eastAsia="仿宋_GB2312" w:cs="宋体"/>
          <w:color w:val="454545"/>
          <w:kern w:val="0"/>
        </w:rPr>
        <w:t>》</w:t>
      </w:r>
      <w:r>
        <w:rPr>
          <w:rFonts w:hint="eastAsia" w:ascii="仿宋_GB2312" w:hAnsi="宋体" w:eastAsia="仿宋_GB2312" w:cs="宋体"/>
          <w:color w:val="454545"/>
          <w:kern w:val="0"/>
        </w:rPr>
        <w:br w:type="textWrapping"/>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吉 林 大 学</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 xml:space="preserve">                 </w:t>
      </w:r>
      <w:r>
        <w:rPr>
          <w:rFonts w:hint="eastAsia" w:ascii="宋体" w:hAnsi="宋体" w:eastAsia="仿宋_GB2312" w:cs="宋体"/>
          <w:color w:val="454545"/>
          <w:kern w:val="0"/>
        </w:rPr>
        <w:t>       </w:t>
      </w:r>
      <w:r>
        <w:rPr>
          <w:rFonts w:hint="eastAsia" w:ascii="仿宋_GB2312" w:hAnsi="宋体" w:eastAsia="仿宋_GB2312" w:cs="宋体"/>
          <w:color w:val="454545"/>
          <w:kern w:val="0"/>
        </w:rPr>
        <w:t>2018年8月28日</w:t>
      </w:r>
      <w:r>
        <w:rPr>
          <w:rFonts w:hint="eastAsia" w:ascii="宋体" w:hAnsi="宋体" w:eastAsia="仿宋_GB2312" w:cs="宋体"/>
          <w:color w:val="454545"/>
          <w:kern w:val="0"/>
        </w:rPr>
        <w:t> </w:t>
      </w:r>
    </w:p>
    <w:p>
      <w:pPr>
        <w:widowControl/>
        <w:shd w:val="clear" w:color="auto" w:fill="FFFFFF" w:themeFill="background1"/>
        <w:wordWrap w:val="0"/>
        <w:spacing w:line="450" w:lineRule="atLeast"/>
        <w:jc w:val="left"/>
        <w:rPr>
          <w:rFonts w:ascii="宋体" w:hAnsi="宋体" w:cs="宋体"/>
          <w:color w:val="454545"/>
          <w:kern w:val="0"/>
          <w:sz w:val="24"/>
          <w:szCs w:val="24"/>
        </w:rPr>
      </w:pPr>
    </w:p>
    <w:p>
      <w:pPr>
        <w:widowControl/>
        <w:shd w:val="clear" w:color="auto" w:fill="FFFFFF" w:themeFill="background1"/>
        <w:wordWrap w:val="0"/>
        <w:spacing w:line="450" w:lineRule="atLeast"/>
        <w:jc w:val="left"/>
        <w:rPr>
          <w:rFonts w:ascii="宋体" w:hAnsi="宋体" w:cs="宋体"/>
          <w:color w:val="454545"/>
          <w:kern w:val="0"/>
          <w:sz w:val="24"/>
          <w:szCs w:val="24"/>
        </w:rPr>
      </w:pPr>
    </w:p>
    <w:p>
      <w:pPr>
        <w:widowControl/>
        <w:spacing w:before="100" w:beforeAutospacing="1" w:after="100" w:afterAutospacing="1"/>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吉林大学通用办公设备家具配置标准</w:t>
      </w:r>
    </w:p>
    <w:p>
      <w:pPr>
        <w:widowControl/>
        <w:spacing w:before="100" w:beforeAutospacing="1" w:after="100" w:afterAutospacing="1"/>
        <w:jc w:val="center"/>
        <w:rPr>
          <w:rFonts w:ascii="方正小标宋简体" w:hAnsi="宋体" w:eastAsia="方正小标宋简体" w:cs="宋体"/>
          <w:kern w:val="0"/>
          <w:sz w:val="36"/>
          <w:szCs w:val="36"/>
        </w:rPr>
      </w:pPr>
    </w:p>
    <w:p>
      <w:pPr>
        <w:widowControl/>
        <w:tabs>
          <w:tab w:val="left" w:pos="7938"/>
          <w:tab w:val="left" w:pos="8222"/>
          <w:tab w:val="left" w:pos="8364"/>
        </w:tabs>
        <w:adjustRightInd w:val="0"/>
        <w:ind w:right="158" w:rightChars="50" w:firstLine="620" w:firstLineChars="196"/>
        <w:jc w:val="left"/>
        <w:rPr>
          <w:rFonts w:ascii="宋体" w:hAnsi="宋体" w:cs="宋体"/>
          <w:kern w:val="0"/>
          <w:sz w:val="24"/>
          <w:szCs w:val="24"/>
        </w:rPr>
      </w:pPr>
      <w:r>
        <w:rPr>
          <w:rFonts w:hint="eastAsia" w:ascii="仿宋_GB2312" w:hAnsi="宋体" w:eastAsia="仿宋_GB2312" w:cs="宋体"/>
          <w:b/>
          <w:bCs/>
          <w:kern w:val="0"/>
        </w:rPr>
        <w:t>第一条 </w:t>
      </w:r>
      <w:r>
        <w:rPr>
          <w:rFonts w:hint="eastAsia" w:ascii="仿宋_GB2312" w:hAnsi="宋体" w:eastAsia="仿宋_GB2312" w:cs="宋体"/>
          <w:kern w:val="0"/>
        </w:rPr>
        <w:t>为加强学校国有资产管理，规范国有资产管理行为，合理配置和使用国有资产，健全学</w:t>
      </w:r>
      <w:r>
        <w:rPr>
          <w:rFonts w:hint="eastAsia" w:ascii="仿宋_GB2312" w:hAnsi="宋体" w:eastAsia="仿宋_GB2312" w:cs="宋体"/>
          <w:color w:val="000000" w:themeColor="text1"/>
          <w:kern w:val="0"/>
        </w:rPr>
        <w:t>校预算标准体系</w:t>
      </w:r>
      <w:r>
        <w:rPr>
          <w:rFonts w:hint="eastAsia" w:ascii="仿宋_GB2312" w:hAnsi="宋体" w:eastAsia="仿宋_GB2312" w:cs="宋体"/>
          <w:kern w:val="0"/>
        </w:rPr>
        <w:t>和资产配置标准体系，保障和促进学校各项事业发展，根据《中央行政单位通用办公设备家具配置标准》（财资</w:t>
      </w:r>
      <w:r>
        <w:rPr>
          <w:rFonts w:hint="eastAsia" w:ascii="仿宋_GB2312" w:hAnsi="仿宋" w:eastAsia="仿宋_GB2312"/>
          <w:color w:val="000000"/>
        </w:rPr>
        <w:t>〔2016〕</w:t>
      </w:r>
      <w:r>
        <w:rPr>
          <w:rFonts w:hint="eastAsia" w:ascii="仿宋_GB2312" w:hAnsi="宋体" w:eastAsia="仿宋_GB2312" w:cs="宋体"/>
          <w:kern w:val="0"/>
        </w:rPr>
        <w:t>27号）文件精神，制定本标准。</w:t>
      </w:r>
    </w:p>
    <w:p>
      <w:pPr>
        <w:widowControl/>
        <w:tabs>
          <w:tab w:val="left" w:pos="7938"/>
          <w:tab w:val="left" w:pos="8222"/>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 xml:space="preserve">第二条  </w:t>
      </w:r>
      <w:r>
        <w:rPr>
          <w:rFonts w:hint="eastAsia" w:ascii="仿宋_GB2312" w:hAnsi="宋体" w:eastAsia="仿宋_GB2312" w:cs="宋体"/>
          <w:kern w:val="0"/>
        </w:rPr>
        <w:t>学校各单位配置通用办公设备、家具适用本标准。</w:t>
      </w:r>
    </w:p>
    <w:p>
      <w:pPr>
        <w:widowControl/>
        <w:tabs>
          <w:tab w:val="left" w:pos="7938"/>
          <w:tab w:val="left" w:pos="8222"/>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第三条 </w:t>
      </w:r>
      <w:r>
        <w:rPr>
          <w:rFonts w:hint="eastAsia" w:ascii="仿宋_GB2312" w:hAnsi="宋体" w:eastAsia="仿宋_GB2312" w:cs="宋体"/>
          <w:kern w:val="0"/>
        </w:rPr>
        <w:t>本标准所称通用办公设备、家具，是指普遍适用于学校各单位，满足办公基本需要的设备、家具，不含专业类设备、家具。</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对未列入本标准资产品目内的其他通用办公设备、家具，应当按照与单位履行职能需要相适应的原则，从严控制。</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第四条 </w:t>
      </w:r>
      <w:r>
        <w:rPr>
          <w:rFonts w:hint="eastAsia" w:ascii="仿宋_GB2312" w:hAnsi="宋体" w:eastAsia="仿宋_GB2312" w:cs="宋体"/>
          <w:kern w:val="0"/>
        </w:rPr>
        <w:t>本标准是我校</w:t>
      </w:r>
      <w:r>
        <w:rPr>
          <w:rFonts w:hint="eastAsia" w:ascii="仿宋_GB2312" w:hAnsi="宋体" w:eastAsia="仿宋_GB2312" w:cs="宋体"/>
          <w:color w:val="000000" w:themeColor="text1"/>
          <w:kern w:val="0"/>
        </w:rPr>
        <w:t>预算标准体系</w:t>
      </w:r>
      <w:r>
        <w:rPr>
          <w:rFonts w:hint="eastAsia" w:ascii="仿宋_GB2312" w:hAnsi="宋体" w:eastAsia="仿宋_GB2312" w:cs="宋体"/>
          <w:kern w:val="0"/>
        </w:rPr>
        <w:t>和资产配置标准体系的重要组成部分，是编制和审核资产配置计划和配置预算，实施政府采购和资产处置管理等工作的基本依据。</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第五条 </w:t>
      </w:r>
      <w:r>
        <w:rPr>
          <w:rFonts w:hint="eastAsia" w:ascii="仿宋_GB2312" w:hAnsi="宋体" w:eastAsia="仿宋_GB2312" w:cs="宋体"/>
          <w:kern w:val="0"/>
        </w:rPr>
        <w:t>本标准包括资产品目、配置数量上限、价格上限、最低使用年限和性能要求等内容。</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资产品目根据办公设备、家具普遍适用程度确定。</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配置数量上限根据单位机构设置、职能、编制内实有人数等确定，是不得超出的数量标准，具体数量由各单位结合实际，按照节约的原则合理配置。</w:t>
      </w:r>
    </w:p>
    <w:p>
      <w:pPr>
        <w:widowControl/>
        <w:tabs>
          <w:tab w:val="left" w:pos="7938"/>
          <w:tab w:val="left" w:pos="8364"/>
        </w:tabs>
        <w:ind w:right="158" w:rightChars="50" w:firstLine="632" w:firstLineChars="200"/>
        <w:jc w:val="left"/>
        <w:outlineLvl w:val="0"/>
        <w:rPr>
          <w:rFonts w:ascii="宋体" w:hAnsi="宋体" w:cs="宋体"/>
          <w:kern w:val="0"/>
        </w:rPr>
      </w:pPr>
      <w:r>
        <w:rPr>
          <w:rFonts w:hint="eastAsia" w:ascii="仿宋_GB2312" w:hAnsi="宋体" w:eastAsia="仿宋_GB2312" w:cs="宋体"/>
          <w:kern w:val="0"/>
        </w:rPr>
        <w:t>价格上限根据办公设备、家具市场行情确定，是不得超出的价格标准，具体价格由各单位结合实际，按照节约的原则合理配置。因特殊原因确需超价格上限采购的，</w:t>
      </w:r>
      <w:r>
        <w:rPr>
          <w:rFonts w:hint="eastAsia" w:ascii="仿宋_GB2312" w:hAnsi="仿宋" w:eastAsia="仿宋_GB2312"/>
          <w:color w:val="000000"/>
          <w:shd w:val="clear" w:color="auto" w:fill="FFFFFF"/>
        </w:rPr>
        <w:t>应当向学校财务处及资产归口管理单位提出申请，履行相关审批</w:t>
      </w:r>
      <w:r>
        <w:rPr>
          <w:rFonts w:hint="eastAsia" w:ascii="仿宋_GB2312" w:hAnsi="宋体" w:eastAsia="仿宋_GB2312" w:cs="宋体"/>
          <w:kern w:val="0"/>
        </w:rPr>
        <w:t>手续。</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最低使用年限根据办公设备、家具的使用频率和耐用程度等确定，是通用办公设备、家具使用的低限标准。未达到最低使用年限的，除损毁且无法修复外，原则上不得更新。已达到使用年限仍可以使用的，应当继续使用。</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性能要求是对通用办公设备、家具功能、属性、材质等方面的规定。</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第六条</w:t>
      </w:r>
      <w:r>
        <w:rPr>
          <w:rFonts w:hint="eastAsia" w:ascii="仿宋_GB2312" w:hAnsi="宋体" w:eastAsia="仿宋_GB2312" w:cs="宋体"/>
          <w:kern w:val="0"/>
        </w:rPr>
        <w:t> 学校各单位配置办公设备应当按照《中华人民共和国政府采购法》的规定，配置具有较强安全性、稳定性、兼容性，且能耗低、维修便利的设备，不得配置高端设备。</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学校各单位配置办公家具应当充分考虑办公布局，符合简朴实用要求，不得配置豪华家具，不得使用名贵木材。</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第七条 </w:t>
      </w:r>
      <w:r>
        <w:rPr>
          <w:rFonts w:hint="eastAsia" w:ascii="仿宋_GB2312" w:hAnsi="宋体" w:eastAsia="仿宋_GB2312" w:cs="宋体"/>
          <w:kern w:val="0"/>
        </w:rPr>
        <w:t>本标准根据社会发展、市场价格变化等因素，适时调整。</w:t>
      </w: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b/>
          <w:bCs/>
          <w:kern w:val="0"/>
        </w:rPr>
        <w:t>第八条 </w:t>
      </w:r>
      <w:r>
        <w:rPr>
          <w:rFonts w:hint="eastAsia" w:ascii="仿宋_GB2312" w:hAnsi="宋体" w:eastAsia="仿宋_GB2312" w:cs="宋体"/>
          <w:kern w:val="0"/>
        </w:rPr>
        <w:t>各单位应当根据本标准的有关规定，结合内设机构职能、工作需要和预算安排情况，在不超出按本标准计算的数量总量内，统筹合理安排本单位内设机构通用办公设备、家具的配置。</w:t>
      </w:r>
    </w:p>
    <w:p>
      <w:pPr>
        <w:widowControl/>
        <w:tabs>
          <w:tab w:val="left" w:pos="7938"/>
          <w:tab w:val="left" w:pos="8364"/>
        </w:tabs>
        <w:ind w:right="158" w:rightChars="50" w:firstLine="709"/>
        <w:jc w:val="left"/>
        <w:outlineLvl w:val="0"/>
        <w:rPr>
          <w:rFonts w:eastAsia="仿宋_GB2312"/>
          <w:color w:val="000000" w:themeColor="text1"/>
          <w:kern w:val="0"/>
          <w:sz w:val="14"/>
          <w:szCs w:val="14"/>
        </w:rPr>
      </w:pPr>
      <w:r>
        <w:rPr>
          <w:rFonts w:hint="eastAsia" w:ascii="仿宋_GB2312" w:hAnsi="宋体" w:eastAsia="仿宋_GB2312" w:cs="仿宋_GB2312"/>
          <w:b/>
          <w:bCs/>
          <w:color w:val="000000" w:themeColor="text1"/>
          <w:kern w:val="0"/>
        </w:rPr>
        <w:t>第九条</w:t>
      </w:r>
      <w:r>
        <w:rPr>
          <w:rFonts w:eastAsia="仿宋_GB2312"/>
          <w:color w:val="000000" w:themeColor="text1"/>
          <w:kern w:val="0"/>
          <w:sz w:val="14"/>
          <w:szCs w:val="14"/>
        </w:rPr>
        <w:t>  </w:t>
      </w:r>
      <w:r>
        <w:rPr>
          <w:rFonts w:hint="eastAsia" w:eastAsia="仿宋_GB2312"/>
          <w:color w:val="000000" w:themeColor="text1"/>
          <w:kern w:val="0"/>
          <w:sz w:val="14"/>
          <w:szCs w:val="14"/>
        </w:rPr>
        <w:t xml:space="preserve"> </w:t>
      </w:r>
      <w:r>
        <w:rPr>
          <w:rFonts w:hint="eastAsia" w:ascii="仿宋" w:hAnsi="仿宋" w:eastAsia="仿宋"/>
          <w:color w:val="000000" w:themeColor="text1"/>
          <w:kern w:val="0"/>
        </w:rPr>
        <w:t>院士、客座教授、长江学者、其他特殊引进人才、校级领导的通用办公家具配置标准按照实际需求配置，具有专业技术职称的行政工作人员按所担任的行政职务级别配置家具，</w:t>
      </w:r>
      <w:r>
        <w:rPr>
          <w:rFonts w:eastAsia="仿宋_GB2312"/>
          <w:color w:val="000000" w:themeColor="text1"/>
          <w:kern w:val="0"/>
          <w:sz w:val="14"/>
          <w:szCs w:val="14"/>
        </w:rPr>
        <w:t>  </w:t>
      </w:r>
      <w:r>
        <w:rPr>
          <w:rFonts w:hint="eastAsia" w:ascii="仿宋_GB2312" w:hAnsi="宋体" w:eastAsia="仿宋_GB2312" w:cs="宋体"/>
          <w:color w:val="000000" w:themeColor="text1"/>
          <w:kern w:val="0"/>
        </w:rPr>
        <w:t>管理系列人员按学校公布的现岗执行本标准。</w:t>
      </w:r>
      <w:r>
        <w:rPr>
          <w:rFonts w:hint="eastAsia" w:eastAsia="仿宋_GB2312"/>
          <w:color w:val="000000" w:themeColor="text1"/>
          <w:kern w:val="0"/>
          <w:sz w:val="14"/>
          <w:szCs w:val="14"/>
        </w:rPr>
        <w:t xml:space="preserve"> </w:t>
      </w:r>
    </w:p>
    <w:p>
      <w:pPr>
        <w:widowControl/>
        <w:tabs>
          <w:tab w:val="left" w:pos="2098"/>
          <w:tab w:val="left" w:pos="7938"/>
          <w:tab w:val="left" w:pos="8364"/>
        </w:tabs>
        <w:ind w:left="2098" w:right="158" w:rightChars="50" w:hanging="1455"/>
        <w:jc w:val="left"/>
        <w:outlineLvl w:val="0"/>
        <w:rPr>
          <w:rFonts w:ascii="仿宋_GB2312" w:hAnsi="宋体" w:eastAsia="仿宋_GB2312" w:cs="宋体"/>
          <w:kern w:val="0"/>
        </w:rPr>
      </w:pPr>
      <w:r>
        <w:rPr>
          <w:rFonts w:hint="eastAsia" w:ascii="仿宋_GB2312" w:hAnsi="宋体" w:eastAsia="仿宋_GB2312" w:cs="仿宋_GB2312"/>
          <w:b/>
          <w:bCs/>
          <w:kern w:val="0"/>
        </w:rPr>
        <w:t xml:space="preserve">第十条  </w:t>
      </w:r>
      <w:r>
        <w:rPr>
          <w:rFonts w:hint="eastAsia" w:ascii="仿宋_GB2312" w:hAnsi="宋体" w:eastAsia="仿宋_GB2312" w:cs="宋体"/>
          <w:kern w:val="0"/>
        </w:rPr>
        <w:t>本标准由资产管理与后勤处负责解释。</w:t>
      </w:r>
    </w:p>
    <w:p>
      <w:pPr>
        <w:widowControl/>
        <w:tabs>
          <w:tab w:val="left" w:pos="7938"/>
          <w:tab w:val="left" w:pos="8364"/>
        </w:tabs>
        <w:ind w:right="158" w:rightChars="50" w:firstLine="544" w:firstLineChars="400"/>
        <w:jc w:val="left"/>
        <w:outlineLvl w:val="0"/>
        <w:rPr>
          <w:rFonts w:ascii="仿宋_GB2312" w:hAnsi="宋体" w:eastAsia="仿宋_GB2312" w:cs="宋体"/>
          <w:kern w:val="0"/>
        </w:rPr>
      </w:pPr>
      <w:r>
        <w:rPr>
          <w:rFonts w:eastAsia="仿宋_GB2312"/>
          <w:kern w:val="0"/>
          <w:sz w:val="14"/>
          <w:szCs w:val="14"/>
        </w:rPr>
        <w:t> </w:t>
      </w:r>
      <w:r>
        <w:rPr>
          <w:rFonts w:hint="eastAsia" w:ascii="仿宋_GB2312" w:hAnsi="宋体" w:eastAsia="仿宋_GB2312" w:cs="仿宋_GB2312"/>
          <w:b/>
          <w:bCs/>
          <w:kern w:val="0"/>
        </w:rPr>
        <w:t xml:space="preserve">第十一条  </w:t>
      </w:r>
      <w:r>
        <w:rPr>
          <w:rFonts w:hint="eastAsia" w:ascii="仿宋_GB2312" w:hAnsi="宋体" w:eastAsia="仿宋_GB2312" w:cs="宋体"/>
          <w:kern w:val="0"/>
        </w:rPr>
        <w:t>本标准自发2018年8月28日起施行。</w:t>
      </w:r>
    </w:p>
    <w:p>
      <w:pPr>
        <w:widowControl/>
        <w:tabs>
          <w:tab w:val="left" w:pos="2098"/>
          <w:tab w:val="left" w:pos="7938"/>
          <w:tab w:val="left" w:pos="8364"/>
        </w:tabs>
        <w:ind w:left="2098" w:right="158" w:rightChars="50" w:hanging="1455"/>
        <w:jc w:val="left"/>
        <w:outlineLvl w:val="0"/>
        <w:rPr>
          <w:rFonts w:ascii="宋体" w:hAnsi="宋体" w:cs="宋体"/>
          <w:kern w:val="0"/>
          <w:sz w:val="24"/>
          <w:szCs w:val="24"/>
        </w:rPr>
      </w:pPr>
    </w:p>
    <w:p>
      <w:pPr>
        <w:widowControl/>
        <w:tabs>
          <w:tab w:val="left" w:pos="7938"/>
          <w:tab w:val="left" w:pos="8364"/>
        </w:tabs>
        <w:ind w:right="158" w:rightChars="50" w:firstLine="632" w:firstLineChars="200"/>
        <w:jc w:val="left"/>
        <w:outlineLvl w:val="0"/>
        <w:rPr>
          <w:rFonts w:ascii="宋体" w:hAnsi="宋体" w:cs="宋体"/>
          <w:kern w:val="0"/>
          <w:sz w:val="24"/>
          <w:szCs w:val="24"/>
        </w:rPr>
      </w:pPr>
      <w:r>
        <w:rPr>
          <w:rFonts w:hint="eastAsia" w:ascii="仿宋_GB2312" w:hAnsi="宋体" w:eastAsia="仿宋_GB2312" w:cs="宋体"/>
          <w:kern w:val="0"/>
        </w:rPr>
        <w:t>附：1.吉林大学通用办公设备配置标准表</w:t>
      </w:r>
    </w:p>
    <w:p>
      <w:pPr>
        <w:widowControl/>
        <w:tabs>
          <w:tab w:val="left" w:pos="7938"/>
          <w:tab w:val="left" w:pos="8364"/>
        </w:tabs>
        <w:ind w:right="158" w:rightChars="50" w:firstLine="1264" w:firstLineChars="400"/>
        <w:jc w:val="left"/>
        <w:outlineLvl w:val="0"/>
        <w:rPr>
          <w:rFonts w:ascii="宋体" w:hAnsi="宋体" w:cs="宋体"/>
          <w:kern w:val="0"/>
          <w:sz w:val="24"/>
          <w:szCs w:val="24"/>
        </w:rPr>
      </w:pPr>
      <w:r>
        <w:rPr>
          <w:rFonts w:hint="eastAsia" w:ascii="仿宋_GB2312" w:hAnsi="宋体" w:eastAsia="仿宋_GB2312" w:cs="宋体"/>
          <w:kern w:val="0"/>
        </w:rPr>
        <w:t xml:space="preserve">2.吉林大学通用办公家具配置标准表 </w:t>
      </w:r>
    </w:p>
    <w:p/>
    <w:p/>
    <w:p/>
    <w:p/>
    <w:p/>
    <w:p/>
    <w:p/>
    <w:p/>
    <w:p/>
    <w:p/>
    <w:p>
      <w:pPr>
        <w:rPr>
          <w:rFonts w:hint="eastAsia"/>
        </w:rPr>
      </w:pPr>
    </w:p>
    <w:p>
      <w:pPr>
        <w:widowControl/>
        <w:jc w:val="left"/>
        <w:rPr>
          <w:rFonts w:ascii="仿宋" w:hAnsi="仿宋" w:eastAsia="仿宋" w:cs="宋体"/>
          <w:kern w:val="0"/>
          <w:szCs w:val="21"/>
        </w:rPr>
        <w:sectPr>
          <w:headerReference r:id="rId3" w:type="default"/>
          <w:footerReference r:id="rId4" w:type="default"/>
          <w:footerReference r:id="rId5" w:type="even"/>
          <w:pgSz w:w="11906" w:h="16838"/>
          <w:pgMar w:top="1701" w:right="1531" w:bottom="1531" w:left="1531" w:header="851" w:footer="992" w:gutter="0"/>
          <w:pgNumType w:fmt="numberInDash"/>
          <w:cols w:space="720" w:num="1"/>
          <w:docGrid w:type="linesAndChars" w:linePitch="618" w:charSpace="-849"/>
        </w:sectPr>
      </w:pPr>
    </w:p>
    <w:p>
      <w:pPr>
        <w:widowControl/>
        <w:tabs>
          <w:tab w:val="left" w:pos="7938"/>
          <w:tab w:val="left" w:pos="8364"/>
        </w:tabs>
        <w:ind w:right="158" w:rightChars="50"/>
        <w:jc w:val="left"/>
        <w:outlineLvl w:val="0"/>
        <w:rPr>
          <w:rFonts w:hint="eastAsia" w:ascii="仿宋_GB2312" w:hAnsi="宋体" w:eastAsia="仿宋_GB2312" w:cs="宋体"/>
          <w:kern w:val="0"/>
        </w:rPr>
      </w:pPr>
      <w:r>
        <w:rPr>
          <w:rFonts w:hint="eastAsia" w:ascii="仿宋_GB2312" w:hAnsi="宋体" w:eastAsia="仿宋_GB2312" w:cs="宋体"/>
          <w:kern w:val="0"/>
        </w:rPr>
        <w:t>附件1</w:t>
      </w:r>
    </w:p>
    <w:p>
      <w:pPr>
        <w:widowControl/>
        <w:tabs>
          <w:tab w:val="left" w:pos="7938"/>
          <w:tab w:val="left" w:pos="8364"/>
        </w:tabs>
        <w:ind w:right="158" w:rightChars="50"/>
        <w:jc w:val="center"/>
        <w:outlineLvl w:val="0"/>
        <w:rPr>
          <w:rFonts w:hint="eastAsia" w:ascii="仿宋" w:hAnsi="仿宋" w:eastAsia="仿宋" w:cs="宋体"/>
          <w:kern w:val="0"/>
          <w:szCs w:val="21"/>
        </w:rPr>
      </w:pPr>
      <w:r>
        <w:rPr>
          <w:rFonts w:hint="eastAsia" w:ascii="仿宋_GB2312" w:hAnsi="宋体" w:eastAsia="仿宋_GB2312" w:cs="宋体"/>
          <w:kern w:val="0"/>
        </w:rPr>
        <w:t>吉林大学通用办公设备配置标准表</w:t>
      </w:r>
    </w:p>
    <w:tbl>
      <w:tblPr>
        <w:tblStyle w:val="11"/>
        <w:tblW w:w="9060" w:type="dxa"/>
        <w:tblInd w:w="0" w:type="dxa"/>
        <w:tblLayout w:type="fixed"/>
        <w:tblCellMar>
          <w:top w:w="0" w:type="dxa"/>
          <w:left w:w="108" w:type="dxa"/>
          <w:bottom w:w="0" w:type="dxa"/>
          <w:right w:w="108" w:type="dxa"/>
        </w:tblCellMar>
      </w:tblPr>
      <w:tblGrid>
        <w:gridCol w:w="488"/>
        <w:gridCol w:w="401"/>
        <w:gridCol w:w="1571"/>
        <w:gridCol w:w="1200"/>
        <w:gridCol w:w="975"/>
        <w:gridCol w:w="3130"/>
        <w:gridCol w:w="1295"/>
      </w:tblGrid>
      <w:tr>
        <w:tblPrEx>
          <w:tblLayout w:type="fixed"/>
          <w:tblCellMar>
            <w:top w:w="0" w:type="dxa"/>
            <w:left w:w="108" w:type="dxa"/>
            <w:bottom w:w="0" w:type="dxa"/>
            <w:right w:w="108" w:type="dxa"/>
          </w:tblCellMar>
        </w:tblPrEx>
        <w:trPr>
          <w:trHeight w:val="876" w:hRule="atLeast"/>
        </w:trPr>
        <w:tc>
          <w:tcPr>
            <w:tcW w:w="2460" w:type="dxa"/>
            <w:gridSpan w:val="3"/>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资产品目</w:t>
            </w:r>
          </w:p>
        </w:tc>
        <w:tc>
          <w:tcPr>
            <w:tcW w:w="12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价格上限（元）</w:t>
            </w:r>
          </w:p>
        </w:tc>
        <w:tc>
          <w:tcPr>
            <w:tcW w:w="9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最低使用年限（年）</w:t>
            </w:r>
          </w:p>
        </w:tc>
        <w:tc>
          <w:tcPr>
            <w:tcW w:w="3130"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配</w:t>
            </w:r>
            <w:r>
              <w:rPr>
                <w:rFonts w:hint="eastAsia" w:ascii="宋体" w:hAnsi="宋体" w:cs="宋体"/>
                <w:kern w:val="0"/>
                <w:sz w:val="18"/>
                <w:szCs w:val="18"/>
              </w:rPr>
              <w:t>置及数量要求</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性能要求</w:t>
            </w:r>
          </w:p>
        </w:tc>
      </w:tr>
      <w:tr>
        <w:tblPrEx>
          <w:tblLayout w:type="fixed"/>
          <w:tblCellMar>
            <w:top w:w="0" w:type="dxa"/>
            <w:left w:w="108" w:type="dxa"/>
            <w:bottom w:w="0" w:type="dxa"/>
            <w:right w:w="108" w:type="dxa"/>
          </w:tblCellMar>
        </w:tblPrEx>
        <w:trPr>
          <w:trHeight w:val="1240" w:hRule="atLeast"/>
        </w:trPr>
        <w:tc>
          <w:tcPr>
            <w:tcW w:w="24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台式计算机</w:t>
            </w:r>
          </w:p>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（含预装正版操作系统软件）</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5,000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行政单位台式计算机配置数量上限为单位编制内实有人数的100%。</w:t>
            </w:r>
          </w:p>
        </w:tc>
        <w:tc>
          <w:tcPr>
            <w:tcW w:w="12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按照《中华人民共和国政府采购法》的规定，配置具有较强安全性、稳定性、兼容性，且能耗低、维修便利的设备，不得配置高端设备</w:t>
            </w:r>
          </w:p>
        </w:tc>
      </w:tr>
      <w:tr>
        <w:tblPrEx>
          <w:tblLayout w:type="fixed"/>
          <w:tblCellMar>
            <w:top w:w="0" w:type="dxa"/>
            <w:left w:w="108" w:type="dxa"/>
            <w:bottom w:w="0" w:type="dxa"/>
            <w:right w:w="108" w:type="dxa"/>
          </w:tblCellMar>
        </w:tblPrEx>
        <w:trPr>
          <w:trHeight w:val="1225" w:hRule="atLeast"/>
        </w:trPr>
        <w:tc>
          <w:tcPr>
            <w:tcW w:w="2460"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便携式计算机</w:t>
            </w:r>
          </w:p>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（含预装正版操作系统软件）</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7,000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行政单位配置数量上限为单位编制内实有人数的50%。</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413" w:hRule="atLeast"/>
        </w:trPr>
        <w:tc>
          <w:tcPr>
            <w:tcW w:w="488" w:type="dxa"/>
            <w:vMerge w:val="restart"/>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打印机</w:t>
            </w:r>
          </w:p>
        </w:tc>
        <w:tc>
          <w:tcPr>
            <w:tcW w:w="4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A4</w:t>
            </w:r>
          </w:p>
        </w:tc>
        <w:tc>
          <w:tcPr>
            <w:tcW w:w="15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黑白</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1,200</w:t>
            </w:r>
          </w:p>
        </w:tc>
        <w:tc>
          <w:tcPr>
            <w:tcW w:w="975" w:type="dxa"/>
            <w:vMerge w:val="restart"/>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按需配置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413" w:hRule="atLeast"/>
        </w:trPr>
        <w:tc>
          <w:tcPr>
            <w:tcW w:w="488"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4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15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彩色</w:t>
            </w: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2,000</w:t>
            </w:r>
          </w:p>
        </w:tc>
        <w:tc>
          <w:tcPr>
            <w:tcW w:w="975" w:type="dxa"/>
            <w:vMerge w:val="continue"/>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按需配置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413" w:hRule="atLeast"/>
        </w:trPr>
        <w:tc>
          <w:tcPr>
            <w:tcW w:w="488"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40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A3</w:t>
            </w:r>
          </w:p>
        </w:tc>
        <w:tc>
          <w:tcPr>
            <w:tcW w:w="15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黑白</w:t>
            </w: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7,600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按需配置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1631" w:hRule="atLeast"/>
        </w:trPr>
        <w:tc>
          <w:tcPr>
            <w:tcW w:w="488"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40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15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彩色</w:t>
            </w:r>
          </w:p>
        </w:tc>
        <w:tc>
          <w:tcPr>
            <w:tcW w:w="120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15,000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原则上不配备彩色打印机，确有需要的，经实验室与设备管理处同意后根据工作需要合理配置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413" w:hRule="atLeast"/>
        </w:trPr>
        <w:tc>
          <w:tcPr>
            <w:tcW w:w="488"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c>
          <w:tcPr>
            <w:tcW w:w="197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票据</w:t>
            </w:r>
            <w:r>
              <w:rPr>
                <w:rFonts w:hint="eastAsia" w:ascii="宋体" w:hAnsi="宋体" w:cs="宋体"/>
                <w:kern w:val="0"/>
                <w:sz w:val="18"/>
                <w:szCs w:val="18"/>
              </w:rPr>
              <w:br w:type="textWrapping"/>
            </w:r>
            <w:r>
              <w:rPr>
                <w:rFonts w:hint="eastAsia" w:ascii="宋体" w:hAnsi="宋体" w:cs="宋体"/>
                <w:kern w:val="0"/>
                <w:sz w:val="18"/>
                <w:szCs w:val="18"/>
              </w:rPr>
              <w:t>打印机</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3,000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按需配置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1225" w:hRule="atLeast"/>
        </w:trPr>
        <w:tc>
          <w:tcPr>
            <w:tcW w:w="2460" w:type="dxa"/>
            <w:gridSpan w:val="3"/>
            <w:tcBorders>
              <w:top w:val="single" w:color="auto"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复印机</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35,000</w:t>
            </w:r>
          </w:p>
        </w:tc>
        <w:tc>
          <w:tcPr>
            <w:tcW w:w="975"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6年或复印30万张纸</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经实验室与设备管理处同意后根据工作需要合理配置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819" w:hRule="atLeast"/>
        </w:trPr>
        <w:tc>
          <w:tcPr>
            <w:tcW w:w="24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一体机/传真机</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3,000</w:t>
            </w:r>
          </w:p>
        </w:tc>
        <w:tc>
          <w:tcPr>
            <w:tcW w:w="975"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配置数量上限按单位编制内实有人数的30%计算</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819" w:hRule="atLeast"/>
        </w:trPr>
        <w:tc>
          <w:tcPr>
            <w:tcW w:w="2460" w:type="dxa"/>
            <w:gridSpan w:val="3"/>
            <w:tcBorders>
              <w:top w:val="single" w:color="auto"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扫描仪</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4,000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配置数量上限按单位编制内实有人数的5%计算</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413" w:hRule="atLeast"/>
        </w:trPr>
        <w:tc>
          <w:tcPr>
            <w:tcW w:w="24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碎纸机</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1,000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按需配置</w:t>
            </w:r>
          </w:p>
        </w:tc>
        <w:tc>
          <w:tcPr>
            <w:tcW w:w="12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r>
        <w:tblPrEx>
          <w:tblLayout w:type="fixed"/>
          <w:tblCellMar>
            <w:top w:w="0" w:type="dxa"/>
            <w:left w:w="108" w:type="dxa"/>
            <w:bottom w:w="0" w:type="dxa"/>
            <w:right w:w="108" w:type="dxa"/>
          </w:tblCellMar>
        </w:tblPrEx>
        <w:trPr>
          <w:trHeight w:val="419" w:hRule="atLeast"/>
        </w:trPr>
        <w:tc>
          <w:tcPr>
            <w:tcW w:w="24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投影仪</w:t>
            </w:r>
          </w:p>
        </w:tc>
        <w:tc>
          <w:tcPr>
            <w:tcW w:w="12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10,000</w:t>
            </w:r>
          </w:p>
        </w:tc>
        <w:tc>
          <w:tcPr>
            <w:tcW w:w="975"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6</w:t>
            </w:r>
          </w:p>
        </w:tc>
        <w:tc>
          <w:tcPr>
            <w:tcW w:w="3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r>
              <w:rPr>
                <w:rFonts w:hint="eastAsia" w:ascii="宋体" w:hAnsi="宋体" w:cs="宋体"/>
                <w:kern w:val="0"/>
                <w:sz w:val="18"/>
                <w:szCs w:val="18"/>
              </w:rPr>
              <w:t>按需配置</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outlineLvl w:val="9"/>
              <w:rPr>
                <w:rFonts w:ascii="宋体" w:hAnsi="宋体" w:cs="宋体"/>
                <w:kern w:val="0"/>
                <w:sz w:val="18"/>
                <w:szCs w:val="18"/>
              </w:rPr>
            </w:pPr>
          </w:p>
        </w:tc>
      </w:tr>
    </w:tbl>
    <w:p>
      <w:pPr>
        <w:spacing w:line="360" w:lineRule="auto"/>
        <w:outlineLvl w:val="0"/>
        <w:rPr>
          <w:rFonts w:ascii="宋体" w:hAnsi="宋体" w:eastAsia="宋体" w:cs="Times New Roman"/>
          <w:sz w:val="18"/>
          <w:szCs w:val="18"/>
        </w:rPr>
      </w:pPr>
      <w:r>
        <w:rPr>
          <w:rFonts w:hint="eastAsia" w:ascii="宋体" w:hAnsi="宋体"/>
          <w:sz w:val="18"/>
          <w:szCs w:val="18"/>
        </w:rPr>
        <w:t>注：价格上限中的价格指单台设备的价格。</w:t>
      </w:r>
    </w:p>
    <w:p>
      <w:pPr>
        <w:widowControl/>
        <w:tabs>
          <w:tab w:val="left" w:pos="7938"/>
          <w:tab w:val="left" w:pos="8364"/>
        </w:tabs>
        <w:ind w:right="158" w:rightChars="50"/>
        <w:jc w:val="both"/>
        <w:outlineLvl w:val="0"/>
        <w:rPr>
          <w:rFonts w:hint="eastAsia" w:ascii="仿宋_GB2312" w:hAnsi="宋体" w:eastAsia="仿宋_GB2312" w:cs="宋体"/>
          <w:kern w:val="0"/>
        </w:rPr>
      </w:pPr>
      <w:r>
        <w:rPr>
          <w:rFonts w:hint="eastAsia" w:ascii="仿宋_GB2312" w:hAnsi="宋体" w:eastAsia="仿宋_GB2312" w:cs="宋体"/>
          <w:kern w:val="0"/>
        </w:rPr>
        <w:t>附件2</w:t>
      </w:r>
    </w:p>
    <w:p>
      <w:pPr>
        <w:widowControl/>
        <w:tabs>
          <w:tab w:val="left" w:pos="7938"/>
          <w:tab w:val="left" w:pos="8364"/>
        </w:tabs>
        <w:ind w:right="158" w:rightChars="50"/>
        <w:jc w:val="center"/>
        <w:outlineLvl w:val="0"/>
        <w:rPr>
          <w:rFonts w:ascii="仿宋_GB2312" w:hAnsi="宋体" w:eastAsia="仿宋_GB2312" w:cs="Times New Roman"/>
          <w:szCs w:val="21"/>
        </w:rPr>
      </w:pPr>
      <w:r>
        <w:rPr>
          <w:rFonts w:hint="eastAsia" w:ascii="仿宋_GB2312" w:hAnsi="宋体" w:eastAsia="仿宋_GB2312" w:cs="宋体"/>
          <w:kern w:val="0"/>
        </w:rPr>
        <w:t>吉林大学通用办公家具配置标准表</w:t>
      </w:r>
      <w:r>
        <w:rPr>
          <w:rFonts w:hint="eastAsia" w:ascii="仿宋_GB2312" w:hAnsi="宋体" w:eastAsia="仿宋_GB2312"/>
          <w:szCs w:val="21"/>
        </w:rPr>
        <w:t xml:space="preserve">                                            </w:t>
      </w:r>
    </w:p>
    <w:tbl>
      <w:tblPr>
        <w:tblStyle w:val="11"/>
        <w:tblW w:w="9390" w:type="dxa"/>
        <w:tblInd w:w="0" w:type="dxa"/>
        <w:tblLayout w:type="fixed"/>
        <w:tblCellMar>
          <w:top w:w="0" w:type="dxa"/>
          <w:left w:w="108" w:type="dxa"/>
          <w:bottom w:w="0" w:type="dxa"/>
          <w:right w:w="108" w:type="dxa"/>
        </w:tblCellMar>
      </w:tblPr>
      <w:tblGrid>
        <w:gridCol w:w="562"/>
        <w:gridCol w:w="1134"/>
        <w:gridCol w:w="822"/>
        <w:gridCol w:w="2410"/>
        <w:gridCol w:w="2392"/>
        <w:gridCol w:w="1005"/>
        <w:gridCol w:w="1065"/>
      </w:tblGrid>
      <w:tr>
        <w:tblPrEx>
          <w:tblLayout w:type="fixed"/>
          <w:tblCellMar>
            <w:top w:w="0" w:type="dxa"/>
            <w:left w:w="108" w:type="dxa"/>
            <w:bottom w:w="0" w:type="dxa"/>
            <w:right w:w="108" w:type="dxa"/>
          </w:tblCellMar>
        </w:tblPrEx>
        <w:trPr>
          <w:trHeight w:val="465"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资产品目</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数量上限（套、件、组）</w:t>
            </w:r>
          </w:p>
        </w:tc>
        <w:tc>
          <w:tcPr>
            <w:tcW w:w="239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价格上限（元）</w:t>
            </w:r>
          </w:p>
        </w:tc>
        <w:tc>
          <w:tcPr>
            <w:tcW w:w="10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最低使用年限（年）</w:t>
            </w:r>
          </w:p>
        </w:tc>
        <w:tc>
          <w:tcPr>
            <w:tcW w:w="10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性能</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要求</w:t>
            </w:r>
          </w:p>
        </w:tc>
      </w:tr>
      <w:tr>
        <w:tblPrEx>
          <w:tblLayout w:type="fixed"/>
          <w:tblCellMar>
            <w:top w:w="0" w:type="dxa"/>
            <w:left w:w="108" w:type="dxa"/>
            <w:bottom w:w="0" w:type="dxa"/>
            <w:right w:w="108" w:type="dxa"/>
          </w:tblCellMar>
        </w:tblPrEx>
        <w:trPr>
          <w:trHeight w:val="1835"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办公桌</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1套/人</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outlineLvl w:val="9"/>
              <w:rPr>
                <w:rFonts w:hint="eastAsia" w:ascii="宋体" w:hAnsi="宋体" w:cs="宋体"/>
                <w:kern w:val="0"/>
                <w:sz w:val="18"/>
                <w:szCs w:val="18"/>
              </w:rPr>
            </w:pPr>
            <w:r>
              <w:rPr>
                <w:rFonts w:hint="eastAsia" w:ascii="宋体" w:hAnsi="宋体" w:cs="宋体"/>
                <w:kern w:val="0"/>
                <w:sz w:val="18"/>
                <w:szCs w:val="18"/>
              </w:rPr>
              <w:t>办公桌配置标准：</w:t>
            </w:r>
          </w:p>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outlineLvl w:val="9"/>
              <w:rPr>
                <w:rFonts w:hint="eastAsia" w:ascii="宋体" w:hAnsi="宋体" w:cs="宋体"/>
                <w:kern w:val="0"/>
                <w:sz w:val="18"/>
                <w:szCs w:val="18"/>
              </w:rPr>
            </w:pPr>
            <w:r>
              <w:rPr>
                <w:rFonts w:hint="eastAsia" w:ascii="宋体" w:hAnsi="宋体" w:cs="宋体"/>
                <w:kern w:val="0"/>
                <w:sz w:val="18"/>
                <w:szCs w:val="18"/>
              </w:rPr>
              <w:t>正处（正高）：1.8M        副处（副高）：1.6M</w:t>
            </w:r>
          </w:p>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outlineLvl w:val="9"/>
              <w:rPr>
                <w:rFonts w:hint="eastAsia" w:ascii="宋体" w:hAnsi="宋体" w:cs="宋体"/>
                <w:kern w:val="0"/>
                <w:sz w:val="18"/>
                <w:szCs w:val="18"/>
              </w:rPr>
            </w:pPr>
            <w:r>
              <w:rPr>
                <w:rFonts w:hint="eastAsia" w:ascii="宋体" w:hAnsi="宋体" w:cs="宋体"/>
                <w:kern w:val="0"/>
                <w:sz w:val="18"/>
                <w:szCs w:val="18"/>
              </w:rPr>
              <w:t>科级及以下（讲师及以下）：1.4M</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校级：4,500；</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正处（正高）：3,000</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副处（副高）：2,500</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科级及以下（讲师及以下）：2,000</w:t>
            </w:r>
          </w:p>
        </w:tc>
        <w:tc>
          <w:tcPr>
            <w:tcW w:w="100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15</w:t>
            </w:r>
          </w:p>
        </w:tc>
        <w:tc>
          <w:tcPr>
            <w:tcW w:w="106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充分考虑办公布局，符合简朴实用、经典耐用要求，不得配置豪华家具，不得使用名贵木材</w:t>
            </w:r>
          </w:p>
        </w:tc>
      </w:tr>
      <w:tr>
        <w:tblPrEx>
          <w:tblLayout w:type="fixed"/>
          <w:tblCellMar>
            <w:top w:w="0" w:type="dxa"/>
            <w:left w:w="108" w:type="dxa"/>
            <w:bottom w:w="0" w:type="dxa"/>
            <w:right w:w="108" w:type="dxa"/>
          </w:tblCellMar>
        </w:tblPrEx>
        <w:trPr>
          <w:trHeight w:val="510"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办公椅</w:t>
            </w: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校级：1,500；</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其它：800</w:t>
            </w:r>
          </w:p>
        </w:tc>
        <w:tc>
          <w:tcPr>
            <w:tcW w:w="10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420" w:hRule="atLeast"/>
        </w:trPr>
        <w:tc>
          <w:tcPr>
            <w:tcW w:w="56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沙发</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三人沙发</w:t>
            </w:r>
          </w:p>
        </w:tc>
        <w:tc>
          <w:tcPr>
            <w:tcW w:w="323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视办公室使用面积，每个处级及以下、教授及以下办公室可以配置1个三人沙发或2个单人沙发，校级办公室可以配置1个三人沙发和2个单人沙发</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3,000</w:t>
            </w:r>
          </w:p>
        </w:tc>
        <w:tc>
          <w:tcPr>
            <w:tcW w:w="100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420" w:hRule="atLeast"/>
        </w:trPr>
        <w:tc>
          <w:tcPr>
            <w:tcW w:w="5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单人沙发</w:t>
            </w:r>
          </w:p>
        </w:tc>
        <w:tc>
          <w:tcPr>
            <w:tcW w:w="32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1,500</w:t>
            </w:r>
          </w:p>
        </w:tc>
        <w:tc>
          <w:tcPr>
            <w:tcW w:w="10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390" w:hRule="atLeast"/>
        </w:trPr>
        <w:tc>
          <w:tcPr>
            <w:tcW w:w="56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茶几</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大茶几</w:t>
            </w:r>
          </w:p>
        </w:tc>
        <w:tc>
          <w:tcPr>
            <w:tcW w:w="323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视办公室使用面积，每个办公室可以选择配置1个大茶几或者1个小茶几</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1,000</w:t>
            </w:r>
          </w:p>
        </w:tc>
        <w:tc>
          <w:tcPr>
            <w:tcW w:w="100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404" w:hRule="atLeast"/>
        </w:trPr>
        <w:tc>
          <w:tcPr>
            <w:tcW w:w="5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小茶几</w:t>
            </w:r>
          </w:p>
        </w:tc>
        <w:tc>
          <w:tcPr>
            <w:tcW w:w="323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800</w:t>
            </w:r>
          </w:p>
        </w:tc>
        <w:tc>
          <w:tcPr>
            <w:tcW w:w="10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431" w:hRule="atLeast"/>
        </w:trPr>
        <w:tc>
          <w:tcPr>
            <w:tcW w:w="1696" w:type="dxa"/>
            <w:gridSpan w:val="2"/>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桌前椅</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1个/办公室</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800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66" w:hRule="atLeast"/>
        </w:trPr>
        <w:tc>
          <w:tcPr>
            <w:tcW w:w="1696"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书柜</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校级：2组/人</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2,000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370" w:hRule="atLeast"/>
        </w:trPr>
        <w:tc>
          <w:tcPr>
            <w:tcW w:w="169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1组/人</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1,200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40" w:hRule="atLeast"/>
        </w:trPr>
        <w:tc>
          <w:tcPr>
            <w:tcW w:w="1696"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文件柜</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1组/人</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校级：2,000；</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其它：1,000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20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55"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更衣柜</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1组/办公室</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校级：2,000；</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其它：1,000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01"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保密柜</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根据保密规定和工作需要合理配置</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3,000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20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417"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茶水柜</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1组/办公室</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1,500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20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1303"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会议桌</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视会议室使用面积情况配置</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outlineLvl w:val="9"/>
              <w:rPr>
                <w:rFonts w:hint="eastAsia" w:ascii="宋体" w:hAnsi="宋体" w:cs="宋体"/>
                <w:kern w:val="0"/>
                <w:sz w:val="18"/>
                <w:szCs w:val="18"/>
              </w:rPr>
            </w:pPr>
            <w:r>
              <w:rPr>
                <w:rFonts w:hint="eastAsia" w:ascii="宋体" w:hAnsi="宋体" w:cs="宋体"/>
                <w:kern w:val="0"/>
                <w:sz w:val="18"/>
                <w:szCs w:val="18"/>
              </w:rPr>
              <w:t>会议室使用面积在50（含）平方米以下：1600元/平方米；50-100（含）平方米：1200元/平方米；</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100平方米以上：1000元/平方米</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20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58" w:hRule="atLeast"/>
        </w:trPr>
        <w:tc>
          <w:tcPr>
            <w:tcW w:w="16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会议椅</w:t>
            </w:r>
          </w:p>
        </w:tc>
        <w:tc>
          <w:tcPr>
            <w:tcW w:w="32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视会议室使用面积情况配置</w:t>
            </w:r>
          </w:p>
        </w:tc>
        <w:tc>
          <w:tcPr>
            <w:tcW w:w="23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800</w:t>
            </w:r>
          </w:p>
        </w:tc>
        <w:tc>
          <w:tcPr>
            <w:tcW w:w="10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r>
              <w:rPr>
                <w:rFonts w:hint="eastAsia" w:ascii="宋体" w:hAnsi="宋体" w:cs="宋体"/>
                <w:kern w:val="0"/>
                <w:sz w:val="18"/>
                <w:szCs w:val="18"/>
              </w:rPr>
              <w:t xml:space="preserve">15 </w:t>
            </w:r>
          </w:p>
        </w:tc>
        <w:tc>
          <w:tcPr>
            <w:tcW w:w="106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outlineLvl w:val="9"/>
              <w:rPr>
                <w:rFonts w:hint="eastAsia" w:ascii="宋体" w:hAnsi="宋体" w:cs="宋体"/>
                <w:kern w:val="0"/>
                <w:sz w:val="18"/>
                <w:szCs w:val="18"/>
              </w:rPr>
            </w:pPr>
          </w:p>
        </w:tc>
      </w:tr>
    </w:tbl>
    <w:p>
      <w:pPr>
        <w:widowControl/>
        <w:jc w:val="left"/>
        <w:rPr>
          <w:rFonts w:ascii="宋体" w:hAnsi="宋体" w:cs="宋体"/>
          <w:kern w:val="0"/>
          <w:sz w:val="18"/>
          <w:szCs w:val="18"/>
        </w:rPr>
      </w:pPr>
      <w:r>
        <w:rPr>
          <w:rFonts w:hint="eastAsia" w:ascii="宋体" w:hAnsi="宋体" w:cs="宋体"/>
          <w:kern w:val="0"/>
          <w:sz w:val="18"/>
          <w:szCs w:val="18"/>
        </w:rPr>
        <w:t>备注  1.配置具有组合功能的办公家具，价格不得高于各单项资产的价格之和。</w:t>
      </w:r>
    </w:p>
    <w:p>
      <w:pPr>
        <w:rPr>
          <w:rFonts w:hint="eastAsia" w:ascii="仿宋" w:hAnsi="仿宋" w:eastAsia="仿宋" w:cs="宋体"/>
          <w:kern w:val="0"/>
          <w:szCs w:val="21"/>
        </w:rPr>
      </w:pPr>
      <w:r>
        <w:rPr>
          <w:rFonts w:hint="eastAsia" w:ascii="宋体" w:hAnsi="宋体" w:cs="宋体"/>
          <w:kern w:val="0"/>
          <w:sz w:val="18"/>
          <w:szCs w:val="18"/>
        </w:rPr>
        <w:t>2.价格上限中的价格指单件家具的价格。</w:t>
      </w:r>
      <w:bookmarkStart w:id="2" w:name="_GoBack"/>
      <w:bookmarkEnd w:id="2"/>
    </w:p>
    <w:sectPr>
      <w:pgSz w:w="11906" w:h="16838"/>
      <w:pgMar w:top="1701" w:right="1531" w:bottom="1531" w:left="1531" w:header="851" w:footer="992" w:gutter="0"/>
      <w:pgNumType w:fmt="numberInDash"/>
      <w:cols w:space="720" w:num="1"/>
      <w:docGrid w:type="linesAndChars" w:linePitch="61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ź">
    <w:altName w:val="Times New Roman"/>
    <w:panose1 w:val="00000000000000000000"/>
    <w:charset w:val="00"/>
    <w:family w:val="roman"/>
    <w:pitch w:val="default"/>
    <w:sig w:usb0="00000000" w:usb1="00000000" w:usb2="00000000" w:usb3="00000000" w:csb0="00000000" w:csb1="00000000"/>
  </w:font>
  <w:font w:name="΢���ź�">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- 4 -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3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3B"/>
    <w:rsid w:val="00080E24"/>
    <w:rsid w:val="000849E8"/>
    <w:rsid w:val="000851A4"/>
    <w:rsid w:val="0009624F"/>
    <w:rsid w:val="000D50CE"/>
    <w:rsid w:val="000F1D26"/>
    <w:rsid w:val="0010306A"/>
    <w:rsid w:val="00104A25"/>
    <w:rsid w:val="001063F8"/>
    <w:rsid w:val="00144375"/>
    <w:rsid w:val="00172648"/>
    <w:rsid w:val="001B3EE4"/>
    <w:rsid w:val="001C12FE"/>
    <w:rsid w:val="001C13E1"/>
    <w:rsid w:val="001E034E"/>
    <w:rsid w:val="00215B96"/>
    <w:rsid w:val="0022525E"/>
    <w:rsid w:val="00237F9B"/>
    <w:rsid w:val="00264A9B"/>
    <w:rsid w:val="002710DA"/>
    <w:rsid w:val="002C370B"/>
    <w:rsid w:val="002E4641"/>
    <w:rsid w:val="002F4A43"/>
    <w:rsid w:val="002F7126"/>
    <w:rsid w:val="00301438"/>
    <w:rsid w:val="00303189"/>
    <w:rsid w:val="003171E0"/>
    <w:rsid w:val="00332B2B"/>
    <w:rsid w:val="0034037C"/>
    <w:rsid w:val="003646AB"/>
    <w:rsid w:val="00396ED5"/>
    <w:rsid w:val="003C0F20"/>
    <w:rsid w:val="003C1951"/>
    <w:rsid w:val="003D10A2"/>
    <w:rsid w:val="003D5355"/>
    <w:rsid w:val="003E4D1E"/>
    <w:rsid w:val="00407605"/>
    <w:rsid w:val="004371E2"/>
    <w:rsid w:val="004600CB"/>
    <w:rsid w:val="00467FE3"/>
    <w:rsid w:val="0048006B"/>
    <w:rsid w:val="004929D0"/>
    <w:rsid w:val="004C0F4F"/>
    <w:rsid w:val="004C697D"/>
    <w:rsid w:val="004D57E6"/>
    <w:rsid w:val="004D5C15"/>
    <w:rsid w:val="0057084F"/>
    <w:rsid w:val="005A486B"/>
    <w:rsid w:val="005C2BBC"/>
    <w:rsid w:val="005F2D5D"/>
    <w:rsid w:val="005F6AD4"/>
    <w:rsid w:val="00617F0C"/>
    <w:rsid w:val="00622FE5"/>
    <w:rsid w:val="00633376"/>
    <w:rsid w:val="00657C99"/>
    <w:rsid w:val="006670D8"/>
    <w:rsid w:val="00691C40"/>
    <w:rsid w:val="00696C01"/>
    <w:rsid w:val="006B1ED6"/>
    <w:rsid w:val="006B30C4"/>
    <w:rsid w:val="006C2CBA"/>
    <w:rsid w:val="006C75CC"/>
    <w:rsid w:val="00703991"/>
    <w:rsid w:val="0070413B"/>
    <w:rsid w:val="00730B43"/>
    <w:rsid w:val="0073700B"/>
    <w:rsid w:val="0077427A"/>
    <w:rsid w:val="007D5C9D"/>
    <w:rsid w:val="007D7124"/>
    <w:rsid w:val="00814AD4"/>
    <w:rsid w:val="00836FF4"/>
    <w:rsid w:val="00852039"/>
    <w:rsid w:val="0086732E"/>
    <w:rsid w:val="008728E7"/>
    <w:rsid w:val="00883996"/>
    <w:rsid w:val="008B0E9E"/>
    <w:rsid w:val="008E61C8"/>
    <w:rsid w:val="008F5319"/>
    <w:rsid w:val="008F5804"/>
    <w:rsid w:val="009054C3"/>
    <w:rsid w:val="009251B8"/>
    <w:rsid w:val="0099176C"/>
    <w:rsid w:val="00997FD9"/>
    <w:rsid w:val="009A1524"/>
    <w:rsid w:val="009B7E1F"/>
    <w:rsid w:val="009E06B0"/>
    <w:rsid w:val="00A16265"/>
    <w:rsid w:val="00A53A5C"/>
    <w:rsid w:val="00AD3AA9"/>
    <w:rsid w:val="00AE1078"/>
    <w:rsid w:val="00AE5D6F"/>
    <w:rsid w:val="00B16089"/>
    <w:rsid w:val="00B16E8D"/>
    <w:rsid w:val="00B31CAD"/>
    <w:rsid w:val="00B5580F"/>
    <w:rsid w:val="00B60DFE"/>
    <w:rsid w:val="00B620A2"/>
    <w:rsid w:val="00B74BAB"/>
    <w:rsid w:val="00B74BB7"/>
    <w:rsid w:val="00B836F4"/>
    <w:rsid w:val="00BA317F"/>
    <w:rsid w:val="00BA4EA0"/>
    <w:rsid w:val="00BD0F95"/>
    <w:rsid w:val="00BE6C4A"/>
    <w:rsid w:val="00C06AA9"/>
    <w:rsid w:val="00C77485"/>
    <w:rsid w:val="00C82764"/>
    <w:rsid w:val="00CA6555"/>
    <w:rsid w:val="00CB1A10"/>
    <w:rsid w:val="00D054D9"/>
    <w:rsid w:val="00D1076B"/>
    <w:rsid w:val="00D16207"/>
    <w:rsid w:val="00D37B0B"/>
    <w:rsid w:val="00D37F56"/>
    <w:rsid w:val="00DB6941"/>
    <w:rsid w:val="00DE673C"/>
    <w:rsid w:val="00E0560E"/>
    <w:rsid w:val="00E32A85"/>
    <w:rsid w:val="00E44A03"/>
    <w:rsid w:val="00E458F3"/>
    <w:rsid w:val="00E738D3"/>
    <w:rsid w:val="00E7456B"/>
    <w:rsid w:val="00E9025B"/>
    <w:rsid w:val="00ED4A32"/>
    <w:rsid w:val="00EE3FF0"/>
    <w:rsid w:val="00EE48CB"/>
    <w:rsid w:val="00EF61D3"/>
    <w:rsid w:val="00F315B7"/>
    <w:rsid w:val="00F4303E"/>
    <w:rsid w:val="00F94648"/>
    <w:rsid w:val="00FC36CB"/>
    <w:rsid w:val="00FE7563"/>
    <w:rsid w:val="107A3871"/>
    <w:rsid w:val="171707ED"/>
    <w:rsid w:val="26883C62"/>
    <w:rsid w:val="4CEE691F"/>
    <w:rsid w:val="52A47E6A"/>
    <w:rsid w:val="58D428A5"/>
    <w:rsid w:val="5BDF0E25"/>
    <w:rsid w:val="5FD36534"/>
    <w:rsid w:val="7A86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annotation subject"/>
    <w:basedOn w:val="3"/>
    <w:next w:val="3"/>
    <w:link w:val="12"/>
    <w:uiPriority w:val="0"/>
    <w:rPr>
      <w:b/>
      <w:bCs/>
    </w:rPr>
  </w:style>
  <w:style w:type="paragraph" w:styleId="3">
    <w:name w:val="annotation text"/>
    <w:basedOn w:val="1"/>
    <w:link w:val="13"/>
    <w:uiPriority w:val="0"/>
    <w:pPr>
      <w:jc w:val="left"/>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annotation reference"/>
    <w:uiPriority w:val="0"/>
    <w:rPr>
      <w:sz w:val="21"/>
      <w:szCs w:val="21"/>
    </w:rPr>
  </w:style>
  <w:style w:type="character" w:customStyle="1" w:styleId="12">
    <w:name w:val="批注主题 Char"/>
    <w:link w:val="2"/>
    <w:uiPriority w:val="0"/>
    <w:rPr>
      <w:b/>
      <w:bCs/>
      <w:kern w:val="2"/>
      <w:sz w:val="32"/>
      <w:szCs w:val="32"/>
    </w:rPr>
  </w:style>
  <w:style w:type="character" w:customStyle="1" w:styleId="13">
    <w:name w:val="批注文字 Char"/>
    <w:link w:val="3"/>
    <w:uiPriority w:val="0"/>
    <w:rPr>
      <w:kern w:val="2"/>
      <w:sz w:val="32"/>
      <w:szCs w:val="32"/>
    </w:rPr>
  </w:style>
  <w:style w:type="character" w:customStyle="1" w:styleId="14">
    <w:name w:val="style21"/>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1230</Words>
  <Characters>166</Characters>
  <Lines>1</Lines>
  <Paragraphs>2</Paragraphs>
  <TotalTime>6</TotalTime>
  <ScaleCrop>false</ScaleCrop>
  <LinksUpToDate>false</LinksUpToDate>
  <CharactersWithSpaces>1394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2018-09-26T01:18:00Z</dcterms:created>
  <dc:creator>lenovo</dc:creator>
  <cp:lastModifiedBy>玫瑰味的鱼</cp:lastModifiedBy>
  <cp:lastPrinted>2018-09-25T07:45:00Z</cp:lastPrinted>
  <dcterms:modified xsi:type="dcterms:W3CDTF">2018-09-26T03:02:49Z</dcterms:modified>
  <dc:title>校发〔2014〕200号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