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cs="Times New Roman"/>
          <w:kern w:val="2"/>
          <w:sz w:val="32"/>
        </w:rPr>
      </w:pPr>
    </w:p>
    <w:p>
      <w:pPr>
        <w:pStyle w:val="7"/>
        <w:spacing w:before="0" w:beforeAutospacing="0" w:after="0" w:afterAutospacing="0"/>
        <w:jc w:val="center"/>
        <w:rPr>
          <w:rFonts w:hint="eastAsia" w:ascii="仿宋_GB2312" w:eastAsia="仿宋_GB2312" w:cs="Times New Roman"/>
          <w:kern w:val="2"/>
          <w:sz w:val="32"/>
        </w:rPr>
      </w:pPr>
      <w:bookmarkStart w:id="0" w:name="OLE_LINK3"/>
      <w:bookmarkStart w:id="1" w:name="OLE_LINK1"/>
      <w:r>
        <w:rPr>
          <w:rFonts w:hint="eastAsia" w:ascii="仿宋_GB2312" w:eastAsia="仿宋_GB2312" w:cs="Times New Roman"/>
          <w:kern w:val="2"/>
          <w:sz w:val="32"/>
        </w:rPr>
        <w:t>校发〔2018〕380号</w:t>
      </w:r>
    </w:p>
    <w:p>
      <w:pPr>
        <w:pStyle w:val="7"/>
        <w:spacing w:before="0" w:beforeAutospacing="0" w:after="0" w:afterAutospacing="0"/>
        <w:jc w:val="center"/>
        <w:rPr>
          <w:rFonts w:hint="eastAsia" w:ascii="仿宋_GB2312" w:eastAsia="仿宋_GB2312"/>
          <w:sz w:val="30"/>
          <w:szCs w:val="30"/>
        </w:rPr>
      </w:pPr>
    </w:p>
    <w:p>
      <w:pPr>
        <w:widowControl/>
        <w:shd w:val="clear" w:color="auto" w:fill="FFFFFF" w:themeFill="background1"/>
        <w:spacing w:line="480" w:lineRule="atLeast"/>
        <w:jc w:val="center"/>
        <w:rPr>
          <w:rFonts w:hint="eastAsia" w:ascii="方正小标宋简体" w:hAnsi="΢   ź" w:eastAsia="方正小标宋简体" w:cs="宋体"/>
          <w:b/>
          <w:bCs/>
          <w:kern w:val="0"/>
          <w:sz w:val="36"/>
          <w:szCs w:val="36"/>
        </w:rPr>
      </w:pPr>
      <w:r>
        <w:rPr>
          <w:rFonts w:hint="eastAsia" w:ascii="方正小标宋简体" w:hAnsi="΢���ź�" w:eastAsia="方正小标宋简体" w:cs="宋体"/>
          <w:b w:val="0"/>
          <w:bCs w:val="0"/>
          <w:kern w:val="0"/>
          <w:sz w:val="36"/>
          <w:szCs w:val="36"/>
        </w:rPr>
        <w:t>关于印发《吉林大学通用办公设备家具配置标准》的通知</w:t>
      </w:r>
    </w:p>
    <w:p>
      <w:pPr>
        <w:widowControl/>
        <w:shd w:val="clear" w:color="auto" w:fill="FFFFFF"/>
        <w:spacing w:line="450" w:lineRule="atLeas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themeFill="background1"/>
        <w:wordWrap w:val="0"/>
        <w:spacing w:line="450" w:lineRule="atLeast"/>
        <w:jc w:val="left"/>
        <w:rPr>
          <w:rFonts w:hint="eastAsia" w:ascii="仿宋_GB2312" w:hAnsi="宋体" w:eastAsia="仿宋_GB2312" w:cs="宋体"/>
          <w:color w:val="454545"/>
          <w:kern w:val="0"/>
        </w:rPr>
      </w:pPr>
      <w:r>
        <w:rPr>
          <w:rFonts w:hint="eastAsia" w:ascii="宋体" w:hAnsi="宋体" w:cs="宋体"/>
          <w:color w:val="454545"/>
          <w:kern w:val="0"/>
          <w:sz w:val="24"/>
          <w:szCs w:val="24"/>
        </w:rPr>
        <w:br w:type="textWrapping"/>
      </w:r>
      <w:bookmarkEnd w:id="0"/>
      <w:bookmarkEnd w:id="1"/>
      <w:r>
        <w:rPr>
          <w:rFonts w:hint="eastAsia" w:ascii="仿宋_GB2312" w:hAnsi="宋体" w:eastAsia="仿宋_GB2312" w:cs="宋体"/>
          <w:color w:val="454545"/>
          <w:kern w:val="0"/>
        </w:rPr>
        <w:t>校内各单位：</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w:t>
      </w:r>
      <w:r>
        <w:rPr>
          <w:rFonts w:hint="eastAsia" w:ascii="仿宋_GB2312" w:hAnsi="΢���ź�" w:eastAsia="仿宋_GB2312" w:cs="宋体"/>
          <w:bCs/>
          <w:kern w:val="0"/>
        </w:rPr>
        <w:t>吉林大学通用办公设备家具配置标准</w:t>
      </w:r>
      <w:r>
        <w:rPr>
          <w:rFonts w:hint="eastAsia" w:ascii="仿宋_GB2312" w:hAnsi="宋体" w:eastAsia="仿宋_GB2312" w:cs="宋体"/>
          <w:color w:val="454545"/>
          <w:kern w:val="0"/>
        </w:rPr>
        <w:t>》</w:t>
      </w:r>
      <w:r>
        <w:rPr>
          <w:rFonts w:hint="eastAsia" w:ascii="仿宋_GB2312" w:eastAsia="仿宋_GB2312" w:cs="Arial" w:hAnsiTheme="majorEastAsia"/>
          <w:color w:val="000000" w:themeColor="text1"/>
          <w:kern w:val="0"/>
        </w:rPr>
        <w:t>（校发</w:t>
      </w:r>
      <w:r>
        <w:rPr>
          <w:rFonts w:hint="eastAsia" w:ascii="仿宋_GB2312" w:eastAsia="仿宋_GB2312" w:cs="Arial" w:hAnsiTheme="majorEastAsia"/>
          <w:color w:val="000000" w:themeColor="text1"/>
          <w:spacing w:val="-9"/>
        </w:rPr>
        <w:t>〔2018〕</w:t>
      </w:r>
      <w:r>
        <w:rPr>
          <w:rFonts w:hint="eastAsia" w:ascii="仿宋_GB2312" w:eastAsia="仿宋_GB2312" w:cs="Arial" w:hAnsiTheme="majorEastAsia"/>
          <w:color w:val="000000" w:themeColor="text1"/>
          <w:kern w:val="0"/>
        </w:rPr>
        <w:t>380号）</w:t>
      </w:r>
      <w:r>
        <w:rPr>
          <w:rFonts w:hint="eastAsia" w:ascii="仿宋_GB2312" w:hAnsi="宋体" w:eastAsia="仿宋_GB2312" w:cs="宋体"/>
          <w:color w:val="454545"/>
          <w:kern w:val="0"/>
        </w:rPr>
        <w:t>经2018年7月15日第十四次校长办公会议讨论通过，现予以印发，请遵照执行。</w:t>
      </w:r>
    </w:p>
    <w:p>
      <w:pPr>
        <w:widowControl/>
        <w:shd w:val="clear" w:color="auto" w:fill="FFFFFF" w:themeFill="background1"/>
        <w:wordWrap w:val="0"/>
        <w:spacing w:line="450" w:lineRule="atLeast"/>
        <w:jc w:val="left"/>
        <w:rPr>
          <w:rFonts w:hint="eastAsia" w:ascii="仿宋_GB2312" w:hAnsi="宋体" w:eastAsia="仿宋_GB2312" w:cs="宋体"/>
          <w:color w:val="454545"/>
          <w:kern w:val="0"/>
        </w:rPr>
      </w:pPr>
    </w:p>
    <w:p>
      <w:pPr>
        <w:widowControl/>
        <w:shd w:val="clear" w:color="auto" w:fill="FFFFFF" w:themeFill="background1"/>
        <w:wordWrap w:val="0"/>
        <w:spacing w:line="450" w:lineRule="atLeast"/>
        <w:ind w:firstLine="632" w:firstLineChars="200"/>
        <w:jc w:val="left"/>
        <w:rPr>
          <w:rFonts w:hint="eastAsia" w:ascii="仿宋_GB2312" w:hAnsi="宋体" w:eastAsia="仿宋_GB2312" w:cs="宋体"/>
          <w:color w:val="454545"/>
          <w:kern w:val="0"/>
        </w:rPr>
      </w:pPr>
      <w:r>
        <w:rPr>
          <w:rFonts w:hint="eastAsia" w:ascii="仿宋_GB2312" w:hAnsi="宋体" w:eastAsia="仿宋_GB2312" w:cs="宋体"/>
          <w:color w:val="454545"/>
          <w:kern w:val="0"/>
        </w:rPr>
        <w:t>附件：《</w:t>
      </w:r>
      <w:r>
        <w:rPr>
          <w:rFonts w:hint="eastAsia" w:ascii="仿宋_GB2312" w:hAnsi="΢���ź�" w:eastAsia="仿宋_GB2312" w:cs="宋体"/>
          <w:bCs/>
          <w:kern w:val="0"/>
        </w:rPr>
        <w:t>吉林大学通用办公设备家具配置标准</w:t>
      </w:r>
      <w:r>
        <w:rPr>
          <w:rFonts w:hint="eastAsia" w:ascii="仿宋_GB2312" w:hAnsi="宋体" w:eastAsia="仿宋_GB2312" w:cs="宋体"/>
          <w:color w:val="454545"/>
          <w:kern w:val="0"/>
        </w:rPr>
        <w:t>》</w:t>
      </w:r>
      <w:r>
        <w:rPr>
          <w:rFonts w:hint="eastAsia" w:ascii="仿宋_GB2312" w:hAnsi="宋体" w:eastAsia="仿宋_GB2312" w:cs="宋体"/>
          <w:color w:val="454545"/>
          <w:kern w:val="0"/>
        </w:rPr>
        <w:br w:type="textWrapping"/>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吉 林 大 学</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 xml:space="preserve">                 </w:t>
      </w:r>
      <w:r>
        <w:rPr>
          <w:rFonts w:hint="eastAsia" w:ascii="宋体" w:hAnsi="宋体" w:eastAsia="仿宋_GB2312" w:cs="宋体"/>
          <w:color w:val="454545"/>
          <w:kern w:val="0"/>
        </w:rPr>
        <w:t>       </w:t>
      </w:r>
      <w:r>
        <w:rPr>
          <w:rFonts w:hint="eastAsia" w:ascii="仿宋_GB2312" w:hAnsi="宋体" w:eastAsia="仿宋_GB2312" w:cs="宋体"/>
          <w:color w:val="454545"/>
          <w:kern w:val="0"/>
        </w:rPr>
        <w:t>2018年8月28日</w:t>
      </w:r>
      <w:r>
        <w:rPr>
          <w:rFonts w:hint="eastAsia" w:ascii="宋体" w:hAnsi="宋体" w:eastAsia="仿宋_GB2312" w:cs="宋体"/>
          <w:color w:val="454545"/>
          <w:kern w:val="0"/>
        </w:rPr>
        <w:t> </w:t>
      </w:r>
    </w:p>
    <w:p>
      <w:pPr>
        <w:widowControl/>
        <w:shd w:val="clear" w:color="auto" w:fill="FFFFFF" w:themeFill="background1"/>
        <w:wordWrap w:val="0"/>
        <w:spacing w:line="450" w:lineRule="atLeast"/>
        <w:jc w:val="left"/>
        <w:rPr>
          <w:rFonts w:ascii="宋体" w:hAnsi="宋体" w:cs="宋体"/>
          <w:color w:val="454545"/>
          <w:kern w:val="0"/>
          <w:sz w:val="24"/>
          <w:szCs w:val="24"/>
        </w:rPr>
      </w:pPr>
    </w:p>
    <w:p>
      <w:pPr>
        <w:widowControl/>
        <w:shd w:val="clear" w:color="auto" w:fill="FFFFFF" w:themeFill="background1"/>
        <w:wordWrap w:val="0"/>
        <w:spacing w:line="450" w:lineRule="atLeast"/>
        <w:jc w:val="left"/>
        <w:rPr>
          <w:rFonts w:ascii="宋体" w:hAnsi="宋体" w:cs="宋体"/>
          <w:color w:val="454545"/>
          <w:kern w:val="0"/>
          <w:sz w:val="24"/>
          <w:szCs w:val="24"/>
        </w:rPr>
      </w:pPr>
    </w:p>
    <w:p>
      <w:pPr>
        <w:widowControl/>
        <w:spacing w:before="100" w:beforeAutospacing="1" w:after="100" w:afterAutospacing="1"/>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吉林大学通用办公设备家具配置标准</w:t>
      </w:r>
    </w:p>
    <w:p>
      <w:pPr>
        <w:widowControl/>
        <w:spacing w:before="100" w:beforeAutospacing="1" w:after="100" w:afterAutospacing="1"/>
        <w:jc w:val="center"/>
        <w:rPr>
          <w:rFonts w:ascii="方正小标宋简体" w:hAnsi="宋体" w:eastAsia="方正小标宋简体" w:cs="宋体"/>
          <w:kern w:val="0"/>
          <w:sz w:val="36"/>
          <w:szCs w:val="36"/>
        </w:rPr>
      </w:pPr>
    </w:p>
    <w:p>
      <w:pPr>
        <w:widowControl/>
        <w:tabs>
          <w:tab w:val="left" w:pos="7938"/>
          <w:tab w:val="left" w:pos="8222"/>
          <w:tab w:val="left" w:pos="8364"/>
        </w:tabs>
        <w:adjustRightInd w:val="0"/>
        <w:ind w:right="158" w:rightChars="50" w:firstLine="620" w:firstLineChars="196"/>
        <w:jc w:val="left"/>
        <w:rPr>
          <w:rFonts w:ascii="宋体" w:hAnsi="宋体" w:cs="宋体"/>
          <w:kern w:val="0"/>
          <w:sz w:val="24"/>
          <w:szCs w:val="24"/>
        </w:rPr>
      </w:pPr>
      <w:r>
        <w:rPr>
          <w:rFonts w:hint="eastAsia" w:ascii="仿宋_GB2312" w:hAnsi="宋体" w:eastAsia="仿宋_GB2312" w:cs="宋体"/>
          <w:b/>
          <w:bCs/>
          <w:kern w:val="0"/>
        </w:rPr>
        <w:t>第一条 </w:t>
      </w:r>
      <w:r>
        <w:rPr>
          <w:rFonts w:hint="eastAsia" w:ascii="仿宋_GB2312" w:hAnsi="宋体" w:eastAsia="仿宋_GB2312" w:cs="宋体"/>
          <w:kern w:val="0"/>
        </w:rPr>
        <w:t>为加强学校国有资产管理，规范国有资产管理行为，合理配置和使用国有资产，健全学</w:t>
      </w:r>
      <w:r>
        <w:rPr>
          <w:rFonts w:hint="eastAsia" w:ascii="仿宋_GB2312" w:hAnsi="宋体" w:eastAsia="仿宋_GB2312" w:cs="宋体"/>
          <w:color w:val="000000" w:themeColor="text1"/>
          <w:kern w:val="0"/>
        </w:rPr>
        <w:t>校预算标准体系</w:t>
      </w:r>
      <w:r>
        <w:rPr>
          <w:rFonts w:hint="eastAsia" w:ascii="仿宋_GB2312" w:hAnsi="宋体" w:eastAsia="仿宋_GB2312" w:cs="宋体"/>
          <w:kern w:val="0"/>
        </w:rPr>
        <w:t>和资产配置标准体系，保障和促进学校各项事业发展，根据《中央行政单位通用办公设备家具配置标准》（财资</w:t>
      </w:r>
      <w:r>
        <w:rPr>
          <w:rFonts w:hint="eastAsia" w:ascii="仿宋_GB2312" w:hAnsi="仿宋" w:eastAsia="仿宋_GB2312"/>
          <w:color w:val="000000"/>
        </w:rPr>
        <w:t>〔2016〕</w:t>
      </w:r>
      <w:r>
        <w:rPr>
          <w:rFonts w:hint="eastAsia" w:ascii="仿宋_GB2312" w:hAnsi="宋体" w:eastAsia="仿宋_GB2312" w:cs="宋体"/>
          <w:kern w:val="0"/>
        </w:rPr>
        <w:t>27号）文件精神，制定本标准。</w:t>
      </w:r>
    </w:p>
    <w:p>
      <w:pPr>
        <w:widowControl/>
        <w:tabs>
          <w:tab w:val="left" w:pos="7938"/>
          <w:tab w:val="left" w:pos="8222"/>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b/>
          <w:bCs/>
          <w:kern w:val="0"/>
        </w:rPr>
        <w:t xml:space="preserve">第二条  </w:t>
      </w:r>
      <w:r>
        <w:rPr>
          <w:rFonts w:hint="eastAsia" w:ascii="仿宋_GB2312" w:hAnsi="宋体" w:eastAsia="仿宋_GB2312" w:cs="宋体"/>
          <w:kern w:val="0"/>
        </w:rPr>
        <w:t>学校各单位配置通用办公设备、家具适用本标准。</w:t>
      </w:r>
    </w:p>
    <w:p>
      <w:pPr>
        <w:widowControl/>
        <w:tabs>
          <w:tab w:val="left" w:pos="7938"/>
          <w:tab w:val="left" w:pos="8222"/>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b/>
          <w:bCs/>
          <w:kern w:val="0"/>
        </w:rPr>
        <w:t>第三条 </w:t>
      </w:r>
      <w:r>
        <w:rPr>
          <w:rFonts w:hint="eastAsia" w:ascii="仿宋_GB2312" w:hAnsi="宋体" w:eastAsia="仿宋_GB2312" w:cs="宋体"/>
          <w:kern w:val="0"/>
        </w:rPr>
        <w:t>本标准所称通用办公设备、家具，是指普遍适用于学校各单位，满足办公基本需要的设备、家具，不含专业类设备、家具。</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kern w:val="0"/>
        </w:rPr>
        <w:t>对未列入本标准资产品目内的其他通用办公设备、家具，应当按照与单位履行职能需要相适应的原则，从严控制。</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b/>
          <w:bCs/>
          <w:kern w:val="0"/>
        </w:rPr>
        <w:t>第四条 </w:t>
      </w:r>
      <w:r>
        <w:rPr>
          <w:rFonts w:hint="eastAsia" w:ascii="仿宋_GB2312" w:hAnsi="宋体" w:eastAsia="仿宋_GB2312" w:cs="宋体"/>
          <w:kern w:val="0"/>
        </w:rPr>
        <w:t>本标准是我校</w:t>
      </w:r>
      <w:r>
        <w:rPr>
          <w:rFonts w:hint="eastAsia" w:ascii="仿宋_GB2312" w:hAnsi="宋体" w:eastAsia="仿宋_GB2312" w:cs="宋体"/>
          <w:color w:val="000000" w:themeColor="text1"/>
          <w:kern w:val="0"/>
        </w:rPr>
        <w:t>预算标准体系</w:t>
      </w:r>
      <w:r>
        <w:rPr>
          <w:rFonts w:hint="eastAsia" w:ascii="仿宋_GB2312" w:hAnsi="宋体" w:eastAsia="仿宋_GB2312" w:cs="宋体"/>
          <w:kern w:val="0"/>
        </w:rPr>
        <w:t>和资产配置标准体系的重要组成部分，是编制和审核资产配置计划和配置预算，实施政府采购和资产处置管理等工作的基本依据。</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b/>
          <w:bCs/>
          <w:kern w:val="0"/>
        </w:rPr>
        <w:t>第五条 </w:t>
      </w:r>
      <w:r>
        <w:rPr>
          <w:rFonts w:hint="eastAsia" w:ascii="仿宋_GB2312" w:hAnsi="宋体" w:eastAsia="仿宋_GB2312" w:cs="宋体"/>
          <w:kern w:val="0"/>
        </w:rPr>
        <w:t>本标准包括资产品目、配置数量上限、价格上限、最低使用年限和性能要求等内容。</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kern w:val="0"/>
        </w:rPr>
        <w:t>资产品目根据办公设备、家具普遍适用程度确定。</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kern w:val="0"/>
        </w:rPr>
        <w:t>配置数量上限根据单位机构设置、职能、编制内实有人数等确定，是不得超出的数量标准，具体数量由各单位结合实际，按照节约的原则合理配置。</w:t>
      </w:r>
    </w:p>
    <w:p>
      <w:pPr>
        <w:widowControl/>
        <w:tabs>
          <w:tab w:val="left" w:pos="7938"/>
          <w:tab w:val="left" w:pos="8364"/>
        </w:tabs>
        <w:ind w:right="158" w:rightChars="50" w:firstLine="632" w:firstLineChars="200"/>
        <w:jc w:val="left"/>
        <w:outlineLvl w:val="0"/>
        <w:rPr>
          <w:rFonts w:ascii="宋体" w:hAnsi="宋体" w:cs="宋体"/>
          <w:kern w:val="0"/>
        </w:rPr>
      </w:pPr>
      <w:r>
        <w:rPr>
          <w:rFonts w:hint="eastAsia" w:ascii="仿宋_GB2312" w:hAnsi="宋体" w:eastAsia="仿宋_GB2312" w:cs="宋体"/>
          <w:kern w:val="0"/>
        </w:rPr>
        <w:t>价格上限根据办公设备、家具市场行情确定，是不得超出的价格标准，具体价格由各单位结合实际，按照节约的原则合理配置。因特殊原因确需超价格上限采购的，</w:t>
      </w:r>
      <w:r>
        <w:rPr>
          <w:rFonts w:hint="eastAsia" w:ascii="仿宋_GB2312" w:hAnsi="仿宋" w:eastAsia="仿宋_GB2312"/>
          <w:color w:val="000000"/>
          <w:shd w:val="clear" w:color="auto" w:fill="FFFFFF"/>
        </w:rPr>
        <w:t>应当向学校财务处及资产归口管理单位提出申请，履行相关审批</w:t>
      </w:r>
      <w:r>
        <w:rPr>
          <w:rFonts w:hint="eastAsia" w:ascii="仿宋_GB2312" w:hAnsi="宋体" w:eastAsia="仿宋_GB2312" w:cs="宋体"/>
          <w:kern w:val="0"/>
        </w:rPr>
        <w:t>手续。</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kern w:val="0"/>
        </w:rPr>
        <w:t>最低使用年限根据办公设备、家具的使用频率和耐用程度等确定，是通用办公设备、家具使用的低限标准。未达到最低使用年限的，除损毁且无法修复外，原则上不得更新。已达到使用年限仍可以使用的，应当继续使用。</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kern w:val="0"/>
        </w:rPr>
        <w:t>性能要求是对通用办公设备、家具功能、属性、材质等方面的规定。</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b/>
          <w:bCs/>
          <w:kern w:val="0"/>
        </w:rPr>
        <w:t>第六条</w:t>
      </w:r>
      <w:r>
        <w:rPr>
          <w:rFonts w:hint="eastAsia" w:ascii="仿宋_GB2312" w:hAnsi="宋体" w:eastAsia="仿宋_GB2312" w:cs="宋体"/>
          <w:kern w:val="0"/>
        </w:rPr>
        <w:t> 学校各单位配置办公设备应当按照《中华人民共和国政府采购法》的规定，配置具有较强安全性、稳定性、兼容性，且能耗低、维修便利的设备，不得配置高端设备。</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kern w:val="0"/>
        </w:rPr>
        <w:t>学校各单位配置办公家具应当充分考虑办公布局，符合简朴实用要求，不得配置豪华家具，不得使用名贵木材。</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b/>
          <w:bCs/>
          <w:kern w:val="0"/>
        </w:rPr>
        <w:t>第七条 </w:t>
      </w:r>
      <w:r>
        <w:rPr>
          <w:rFonts w:hint="eastAsia" w:ascii="仿宋_GB2312" w:hAnsi="宋体" w:eastAsia="仿宋_GB2312" w:cs="宋体"/>
          <w:kern w:val="0"/>
        </w:rPr>
        <w:t>本标准根据社会发展、市场价格变化等因素，适时调整。</w:t>
      </w: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b/>
          <w:bCs/>
          <w:kern w:val="0"/>
        </w:rPr>
        <w:t>第八条 </w:t>
      </w:r>
      <w:r>
        <w:rPr>
          <w:rFonts w:hint="eastAsia" w:ascii="仿宋_GB2312" w:hAnsi="宋体" w:eastAsia="仿宋_GB2312" w:cs="宋体"/>
          <w:kern w:val="0"/>
        </w:rPr>
        <w:t>各单位应当根据本标准的有关规定，结合内设机构职能、工作需要和预算安排情况，在不超出按本标准计算的数量总量内，统筹合理安排本单位内设机构通用办公设备、家具的配置。</w:t>
      </w:r>
    </w:p>
    <w:p>
      <w:pPr>
        <w:widowControl/>
        <w:tabs>
          <w:tab w:val="left" w:pos="7938"/>
          <w:tab w:val="left" w:pos="8364"/>
        </w:tabs>
        <w:ind w:right="158" w:rightChars="50" w:firstLine="709"/>
        <w:jc w:val="left"/>
        <w:outlineLvl w:val="0"/>
        <w:rPr>
          <w:rFonts w:eastAsia="仿宋_GB2312"/>
          <w:color w:val="000000" w:themeColor="text1"/>
          <w:kern w:val="0"/>
          <w:sz w:val="14"/>
          <w:szCs w:val="14"/>
        </w:rPr>
      </w:pPr>
      <w:r>
        <w:rPr>
          <w:rFonts w:hint="eastAsia" w:ascii="仿宋_GB2312" w:hAnsi="宋体" w:eastAsia="仿宋_GB2312" w:cs="仿宋_GB2312"/>
          <w:b/>
          <w:bCs/>
          <w:color w:val="000000" w:themeColor="text1"/>
          <w:kern w:val="0"/>
        </w:rPr>
        <w:t>第九条</w:t>
      </w:r>
      <w:r>
        <w:rPr>
          <w:rFonts w:eastAsia="仿宋_GB2312"/>
          <w:color w:val="000000" w:themeColor="text1"/>
          <w:kern w:val="0"/>
          <w:sz w:val="14"/>
          <w:szCs w:val="14"/>
        </w:rPr>
        <w:t>  </w:t>
      </w:r>
      <w:r>
        <w:rPr>
          <w:rFonts w:hint="eastAsia" w:eastAsia="仿宋_GB2312"/>
          <w:color w:val="000000" w:themeColor="text1"/>
          <w:kern w:val="0"/>
          <w:sz w:val="14"/>
          <w:szCs w:val="14"/>
        </w:rPr>
        <w:t xml:space="preserve"> </w:t>
      </w:r>
      <w:r>
        <w:rPr>
          <w:rFonts w:hint="eastAsia" w:ascii="仿宋" w:hAnsi="仿宋" w:eastAsia="仿宋"/>
          <w:color w:val="000000" w:themeColor="text1"/>
          <w:kern w:val="0"/>
        </w:rPr>
        <w:t>院士、客座教授、长江学者、其他特殊引进人才、校级领导的通用办公家具配置标准按照实际需求配置，具有专业技术职称的行政工作人员按所担任的行政职务级别配置家具，</w:t>
      </w:r>
      <w:r>
        <w:rPr>
          <w:rFonts w:eastAsia="仿宋_GB2312"/>
          <w:color w:val="000000" w:themeColor="text1"/>
          <w:kern w:val="0"/>
          <w:sz w:val="14"/>
          <w:szCs w:val="14"/>
        </w:rPr>
        <w:t>  </w:t>
      </w:r>
      <w:r>
        <w:rPr>
          <w:rFonts w:hint="eastAsia" w:ascii="仿宋_GB2312" w:hAnsi="宋体" w:eastAsia="仿宋_GB2312" w:cs="宋体"/>
          <w:color w:val="000000" w:themeColor="text1"/>
          <w:kern w:val="0"/>
        </w:rPr>
        <w:t>管理系列人员按学校公布的现岗执行本标准。</w:t>
      </w:r>
      <w:r>
        <w:rPr>
          <w:rFonts w:hint="eastAsia" w:eastAsia="仿宋_GB2312"/>
          <w:color w:val="000000" w:themeColor="text1"/>
          <w:kern w:val="0"/>
          <w:sz w:val="14"/>
          <w:szCs w:val="14"/>
        </w:rPr>
        <w:t xml:space="preserve"> </w:t>
      </w:r>
    </w:p>
    <w:p>
      <w:pPr>
        <w:widowControl/>
        <w:tabs>
          <w:tab w:val="left" w:pos="2098"/>
          <w:tab w:val="left" w:pos="7938"/>
          <w:tab w:val="left" w:pos="8364"/>
        </w:tabs>
        <w:ind w:left="2098" w:right="158" w:rightChars="50" w:hanging="1455"/>
        <w:jc w:val="left"/>
        <w:outlineLvl w:val="0"/>
        <w:rPr>
          <w:rFonts w:ascii="仿宋_GB2312" w:hAnsi="宋体" w:eastAsia="仿宋_GB2312" w:cs="宋体"/>
          <w:kern w:val="0"/>
        </w:rPr>
      </w:pPr>
      <w:r>
        <w:rPr>
          <w:rFonts w:hint="eastAsia" w:ascii="仿宋_GB2312" w:hAnsi="宋体" w:eastAsia="仿宋_GB2312" w:cs="仿宋_GB2312"/>
          <w:b/>
          <w:bCs/>
          <w:kern w:val="0"/>
        </w:rPr>
        <w:t xml:space="preserve">第十条  </w:t>
      </w:r>
      <w:r>
        <w:rPr>
          <w:rFonts w:hint="eastAsia" w:ascii="仿宋_GB2312" w:hAnsi="宋体" w:eastAsia="仿宋_GB2312" w:cs="宋体"/>
          <w:kern w:val="0"/>
        </w:rPr>
        <w:t>本标准由资产管理与后勤处负责解释。</w:t>
      </w:r>
    </w:p>
    <w:p>
      <w:pPr>
        <w:widowControl/>
        <w:tabs>
          <w:tab w:val="left" w:pos="7938"/>
          <w:tab w:val="left" w:pos="8364"/>
        </w:tabs>
        <w:ind w:right="158" w:rightChars="50" w:firstLine="544" w:firstLineChars="400"/>
        <w:jc w:val="left"/>
        <w:outlineLvl w:val="0"/>
        <w:rPr>
          <w:rFonts w:ascii="仿宋_GB2312" w:hAnsi="宋体" w:eastAsia="仿宋_GB2312" w:cs="宋体"/>
          <w:kern w:val="0"/>
        </w:rPr>
      </w:pPr>
      <w:r>
        <w:rPr>
          <w:rFonts w:eastAsia="仿宋_GB2312"/>
          <w:kern w:val="0"/>
          <w:sz w:val="14"/>
          <w:szCs w:val="14"/>
        </w:rPr>
        <w:t> </w:t>
      </w:r>
      <w:r>
        <w:rPr>
          <w:rFonts w:hint="eastAsia" w:ascii="仿宋_GB2312" w:hAnsi="宋体" w:eastAsia="仿宋_GB2312" w:cs="仿宋_GB2312"/>
          <w:b/>
          <w:bCs/>
          <w:kern w:val="0"/>
        </w:rPr>
        <w:t xml:space="preserve">第十一条  </w:t>
      </w:r>
      <w:r>
        <w:rPr>
          <w:rFonts w:hint="eastAsia" w:ascii="仿宋_GB2312" w:hAnsi="宋体" w:eastAsia="仿宋_GB2312" w:cs="宋体"/>
          <w:kern w:val="0"/>
        </w:rPr>
        <w:t>本标准自发2018年8月28日起施行。</w:t>
      </w:r>
    </w:p>
    <w:p>
      <w:pPr>
        <w:widowControl/>
        <w:tabs>
          <w:tab w:val="left" w:pos="2098"/>
          <w:tab w:val="left" w:pos="7938"/>
          <w:tab w:val="left" w:pos="8364"/>
        </w:tabs>
        <w:ind w:left="2098" w:right="158" w:rightChars="50" w:hanging="1455"/>
        <w:jc w:val="left"/>
        <w:outlineLvl w:val="0"/>
        <w:rPr>
          <w:rFonts w:ascii="宋体" w:hAnsi="宋体" w:cs="宋体"/>
          <w:kern w:val="0"/>
          <w:sz w:val="24"/>
          <w:szCs w:val="24"/>
        </w:rPr>
      </w:pPr>
    </w:p>
    <w:p>
      <w:pPr>
        <w:widowControl/>
        <w:tabs>
          <w:tab w:val="left" w:pos="7938"/>
          <w:tab w:val="left" w:pos="8364"/>
        </w:tabs>
        <w:ind w:right="158" w:rightChars="50" w:firstLine="632" w:firstLineChars="200"/>
        <w:jc w:val="left"/>
        <w:outlineLvl w:val="0"/>
        <w:rPr>
          <w:rFonts w:ascii="宋体" w:hAnsi="宋体" w:cs="宋体"/>
          <w:kern w:val="0"/>
          <w:sz w:val="24"/>
          <w:szCs w:val="24"/>
        </w:rPr>
      </w:pPr>
      <w:r>
        <w:rPr>
          <w:rFonts w:hint="eastAsia" w:ascii="仿宋_GB2312" w:hAnsi="宋体" w:eastAsia="仿宋_GB2312" w:cs="宋体"/>
          <w:kern w:val="0"/>
        </w:rPr>
        <w:t>附：1.吉林大学通用办公设备配置标准表</w:t>
      </w:r>
    </w:p>
    <w:p>
      <w:pPr>
        <w:widowControl/>
        <w:tabs>
          <w:tab w:val="left" w:pos="7938"/>
          <w:tab w:val="left" w:pos="8364"/>
        </w:tabs>
        <w:ind w:right="158" w:rightChars="50" w:firstLine="1264" w:firstLineChars="400"/>
        <w:jc w:val="left"/>
        <w:outlineLvl w:val="0"/>
        <w:rPr>
          <w:rFonts w:ascii="宋体" w:hAnsi="宋体" w:cs="宋体"/>
          <w:kern w:val="0"/>
          <w:sz w:val="24"/>
          <w:szCs w:val="24"/>
        </w:rPr>
      </w:pPr>
      <w:r>
        <w:rPr>
          <w:rFonts w:hint="eastAsia" w:ascii="仿宋_GB2312" w:hAnsi="宋体" w:eastAsia="仿宋_GB2312" w:cs="宋体"/>
          <w:kern w:val="0"/>
        </w:rPr>
        <w:t xml:space="preserve">2.吉林大学通用办公家具配置标准表 </w:t>
      </w:r>
    </w:p>
    <w:p/>
    <w:p/>
    <w:p/>
    <w:p/>
    <w:p/>
    <w:p/>
    <w:p/>
    <w:p/>
    <w:p/>
    <w:p/>
    <w:p>
      <w:pPr>
        <w:rPr>
          <w:rFonts w:hint="eastAsia"/>
        </w:rPr>
      </w:pPr>
    </w:p>
    <w:p>
      <w:pPr>
        <w:widowControl/>
        <w:jc w:val="left"/>
        <w:rPr>
          <w:rFonts w:ascii="仿宋" w:hAnsi="仿宋" w:eastAsia="仿宋" w:cs="宋体"/>
          <w:kern w:val="0"/>
          <w:szCs w:val="21"/>
        </w:rPr>
        <w:sectPr>
          <w:headerReference r:id="rId3" w:type="default"/>
          <w:footerReference r:id="rId4" w:type="default"/>
          <w:footerReference r:id="rId5" w:type="even"/>
          <w:pgSz w:w="11906" w:h="16838"/>
          <w:pgMar w:top="1701" w:right="1531" w:bottom="1531" w:left="1531" w:header="851" w:footer="992" w:gutter="0"/>
          <w:pgNumType w:fmt="numberInDash"/>
          <w:cols w:space="720" w:num="1"/>
          <w:docGrid w:type="linesAndChars" w:linePitch="618" w:charSpace="-849"/>
        </w:sectPr>
      </w:pPr>
    </w:p>
    <w:p>
      <w:pPr>
        <w:widowControl/>
        <w:tabs>
          <w:tab w:val="left" w:pos="7938"/>
          <w:tab w:val="left" w:pos="8364"/>
        </w:tabs>
        <w:ind w:right="158" w:rightChars="50"/>
        <w:jc w:val="left"/>
        <w:outlineLvl w:val="0"/>
        <w:rPr>
          <w:rFonts w:hint="eastAsia" w:ascii="仿宋_GB2312" w:hAnsi="宋体" w:eastAsia="仿宋_GB2312" w:cs="宋体"/>
          <w:kern w:val="0"/>
        </w:rPr>
      </w:pPr>
      <w:r>
        <w:rPr>
          <w:rFonts w:hint="eastAsia" w:ascii="仿宋_GB2312" w:hAnsi="宋体" w:eastAsia="仿宋_GB2312" w:cs="宋体"/>
          <w:kern w:val="0"/>
        </w:rPr>
        <w:t>附件1</w:t>
      </w:r>
    </w:p>
    <w:p>
      <w:pPr>
        <w:widowControl/>
        <w:tabs>
          <w:tab w:val="left" w:pos="7938"/>
          <w:tab w:val="left" w:pos="8364"/>
        </w:tabs>
        <w:ind w:right="158" w:rightChars="50"/>
        <w:jc w:val="center"/>
        <w:outlineLvl w:val="0"/>
        <w:rPr>
          <w:rFonts w:hint="eastAsia" w:ascii="仿宋" w:hAnsi="仿宋" w:eastAsia="仿宋" w:cs="宋体"/>
          <w:kern w:val="0"/>
          <w:szCs w:val="21"/>
        </w:rPr>
      </w:pPr>
      <w:r>
        <w:rPr>
          <w:rFonts w:hint="eastAsia" w:ascii="仿宋_GB2312" w:hAnsi="宋体" w:eastAsia="仿宋_GB2312" w:cs="宋体"/>
          <w:kern w:val="0"/>
        </w:rPr>
        <w:t>吉林大学通用办公设备配置标准表</w:t>
      </w:r>
    </w:p>
    <w:tbl>
      <w:tblPr>
        <w:tblStyle w:val="11"/>
        <w:tblW w:w="9060" w:type="dxa"/>
        <w:tblInd w:w="0" w:type="dxa"/>
        <w:tblLayout w:type="fixed"/>
        <w:tblCellMar>
          <w:top w:w="0" w:type="dxa"/>
          <w:left w:w="108" w:type="dxa"/>
          <w:bottom w:w="0" w:type="dxa"/>
          <w:right w:w="108" w:type="dxa"/>
        </w:tblCellMar>
      </w:tblPr>
      <w:tblGrid>
        <w:gridCol w:w="488"/>
        <w:gridCol w:w="401"/>
        <w:gridCol w:w="1571"/>
        <w:gridCol w:w="1200"/>
        <w:gridCol w:w="975"/>
        <w:gridCol w:w="3130"/>
        <w:gridCol w:w="1295"/>
      </w:tblGrid>
      <w:tr>
        <w:tblPrEx>
          <w:tblLayout w:type="fixed"/>
          <w:tblCellMar>
            <w:top w:w="0" w:type="dxa"/>
            <w:left w:w="108" w:type="dxa"/>
            <w:bottom w:w="0" w:type="dxa"/>
            <w:right w:w="108" w:type="dxa"/>
          </w:tblCellMar>
        </w:tblPrEx>
        <w:trPr>
          <w:trHeight w:val="876" w:hRule="atLeast"/>
        </w:trPr>
        <w:tc>
          <w:tcPr>
            <w:tcW w:w="2460" w:type="dxa"/>
            <w:gridSpan w:val="3"/>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资产品目</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价格上限（元）</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最低使用年限（年）</w:t>
            </w:r>
          </w:p>
        </w:tc>
        <w:tc>
          <w:tcPr>
            <w:tcW w:w="3130" w:type="dxa"/>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配</w:t>
            </w:r>
            <w:r>
              <w:rPr>
                <w:rFonts w:hint="eastAsia" w:ascii="宋体" w:hAnsi="宋体" w:cs="宋体"/>
                <w:kern w:val="0"/>
                <w:sz w:val="18"/>
                <w:szCs w:val="18"/>
              </w:rPr>
              <w:t>置及数量要求</w:t>
            </w:r>
          </w:p>
        </w:tc>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性能要求</w:t>
            </w:r>
          </w:p>
        </w:tc>
      </w:tr>
      <w:tr>
        <w:tblPrEx>
          <w:tblLayout w:type="fixed"/>
          <w:tblCellMar>
            <w:top w:w="0" w:type="dxa"/>
            <w:left w:w="108" w:type="dxa"/>
            <w:bottom w:w="0" w:type="dxa"/>
            <w:right w:w="108" w:type="dxa"/>
          </w:tblCellMar>
        </w:tblPrEx>
        <w:trPr>
          <w:trHeight w:val="1240" w:hRule="atLeast"/>
        </w:trPr>
        <w:tc>
          <w:tcPr>
            <w:tcW w:w="24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台式计算机</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（含预装正版操作系统软件）</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5,000</w:t>
            </w:r>
          </w:p>
        </w:tc>
        <w:tc>
          <w:tcPr>
            <w:tcW w:w="975"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行政单位台式计算机配置数量上限为单位编制内实有人数的100%。</w:t>
            </w:r>
          </w:p>
        </w:tc>
        <w:tc>
          <w:tcPr>
            <w:tcW w:w="12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按照《中华人民共和国政府采购法》的规定，配置具有较强安全性、稳定性、兼容性，且能耗低、维修便利的设备，不得配置高端设备</w:t>
            </w:r>
          </w:p>
        </w:tc>
      </w:tr>
      <w:tr>
        <w:tblPrEx>
          <w:tblLayout w:type="fixed"/>
          <w:tblCellMar>
            <w:top w:w="0" w:type="dxa"/>
            <w:left w:w="108" w:type="dxa"/>
            <w:bottom w:w="0" w:type="dxa"/>
            <w:right w:w="108" w:type="dxa"/>
          </w:tblCellMar>
        </w:tblPrEx>
        <w:trPr>
          <w:trHeight w:val="1225" w:hRule="atLeast"/>
        </w:trPr>
        <w:tc>
          <w:tcPr>
            <w:tcW w:w="2460"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便携式计算机</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（含预装正版操作系统软件）</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7,000</w:t>
            </w:r>
          </w:p>
        </w:tc>
        <w:tc>
          <w:tcPr>
            <w:tcW w:w="975"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行政单位配置数量上限为单位编制内实有人数的50%。</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413" w:hRule="atLeast"/>
        </w:trPr>
        <w:tc>
          <w:tcPr>
            <w:tcW w:w="488" w:type="dxa"/>
            <w:vMerge w:val="restart"/>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打印机</w:t>
            </w:r>
          </w:p>
        </w:tc>
        <w:tc>
          <w:tcPr>
            <w:tcW w:w="4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A4</w:t>
            </w:r>
          </w:p>
        </w:tc>
        <w:tc>
          <w:tcPr>
            <w:tcW w:w="15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黑白</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1,200</w:t>
            </w:r>
          </w:p>
        </w:tc>
        <w:tc>
          <w:tcPr>
            <w:tcW w:w="975" w:type="dxa"/>
            <w:vMerge w:val="restar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按需配置</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413" w:hRule="atLeast"/>
        </w:trPr>
        <w:tc>
          <w:tcPr>
            <w:tcW w:w="488" w:type="dxa"/>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c>
          <w:tcPr>
            <w:tcW w:w="4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c>
          <w:tcPr>
            <w:tcW w:w="15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彩色</w:t>
            </w:r>
          </w:p>
        </w:tc>
        <w:tc>
          <w:tcPr>
            <w:tcW w:w="12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2,000</w:t>
            </w:r>
          </w:p>
        </w:tc>
        <w:tc>
          <w:tcPr>
            <w:tcW w:w="975" w:type="dxa"/>
            <w:vMerge w:val="continue"/>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按需配置</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413" w:hRule="atLeast"/>
        </w:trPr>
        <w:tc>
          <w:tcPr>
            <w:tcW w:w="488" w:type="dxa"/>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c>
          <w:tcPr>
            <w:tcW w:w="4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A3</w:t>
            </w:r>
          </w:p>
        </w:tc>
        <w:tc>
          <w:tcPr>
            <w:tcW w:w="15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黑白</w:t>
            </w:r>
          </w:p>
        </w:tc>
        <w:tc>
          <w:tcPr>
            <w:tcW w:w="12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7,600</w:t>
            </w:r>
          </w:p>
        </w:tc>
        <w:tc>
          <w:tcPr>
            <w:tcW w:w="975"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按需配置</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1631" w:hRule="atLeast"/>
        </w:trPr>
        <w:tc>
          <w:tcPr>
            <w:tcW w:w="488" w:type="dxa"/>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c>
          <w:tcPr>
            <w:tcW w:w="4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c>
          <w:tcPr>
            <w:tcW w:w="15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彩色</w:t>
            </w:r>
          </w:p>
        </w:tc>
        <w:tc>
          <w:tcPr>
            <w:tcW w:w="12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15,000</w:t>
            </w:r>
          </w:p>
        </w:tc>
        <w:tc>
          <w:tcPr>
            <w:tcW w:w="975"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原则上不配备彩色打印机，确有需要的，经实验室与设备管理处同意后根据工作需要合理配置</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413" w:hRule="atLeast"/>
        </w:trPr>
        <w:tc>
          <w:tcPr>
            <w:tcW w:w="488" w:type="dxa"/>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c>
          <w:tcPr>
            <w:tcW w:w="197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票据</w:t>
            </w:r>
            <w:r>
              <w:rPr>
                <w:rFonts w:hint="eastAsia" w:ascii="宋体" w:hAnsi="宋体" w:cs="宋体"/>
                <w:kern w:val="0"/>
                <w:sz w:val="18"/>
                <w:szCs w:val="18"/>
              </w:rPr>
              <w:br w:type="textWrapping"/>
            </w:r>
            <w:r>
              <w:rPr>
                <w:rFonts w:hint="eastAsia" w:ascii="宋体" w:hAnsi="宋体" w:cs="宋体"/>
                <w:kern w:val="0"/>
                <w:sz w:val="18"/>
                <w:szCs w:val="18"/>
              </w:rPr>
              <w:t>打印机</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3,000</w:t>
            </w:r>
          </w:p>
        </w:tc>
        <w:tc>
          <w:tcPr>
            <w:tcW w:w="975"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按需配置</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1225" w:hRule="atLeast"/>
        </w:trPr>
        <w:tc>
          <w:tcPr>
            <w:tcW w:w="2460" w:type="dxa"/>
            <w:gridSpan w:val="3"/>
            <w:tcBorders>
              <w:top w:val="single" w:color="auto" w:sz="4" w:space="0"/>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复印机</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35,000</w:t>
            </w:r>
          </w:p>
        </w:tc>
        <w:tc>
          <w:tcPr>
            <w:tcW w:w="975"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6年或复印30万张纸</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经实验室与设备管理处同意后根据工作需要合理配置</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819" w:hRule="atLeast"/>
        </w:trPr>
        <w:tc>
          <w:tcPr>
            <w:tcW w:w="24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一体机/传真机</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3,000</w:t>
            </w:r>
          </w:p>
        </w:tc>
        <w:tc>
          <w:tcPr>
            <w:tcW w:w="975"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配置数量上限按单位编制内实有人数的30%计算</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819" w:hRule="atLeast"/>
        </w:trPr>
        <w:tc>
          <w:tcPr>
            <w:tcW w:w="2460" w:type="dxa"/>
            <w:gridSpan w:val="3"/>
            <w:tcBorders>
              <w:top w:val="single" w:color="auto" w:sz="4" w:space="0"/>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扫描仪</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4,000</w:t>
            </w:r>
          </w:p>
        </w:tc>
        <w:tc>
          <w:tcPr>
            <w:tcW w:w="975"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配置数量上限按单位编制内实有人数的5%计算</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413" w:hRule="atLeast"/>
        </w:trPr>
        <w:tc>
          <w:tcPr>
            <w:tcW w:w="24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碎纸机</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1,000</w:t>
            </w:r>
          </w:p>
        </w:tc>
        <w:tc>
          <w:tcPr>
            <w:tcW w:w="975"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按需配置</w:t>
            </w: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r>
        <w:tblPrEx>
          <w:tblLayout w:type="fixed"/>
          <w:tblCellMar>
            <w:top w:w="0" w:type="dxa"/>
            <w:left w:w="108" w:type="dxa"/>
            <w:bottom w:w="0" w:type="dxa"/>
            <w:right w:w="108" w:type="dxa"/>
          </w:tblCellMar>
        </w:tblPrEx>
        <w:trPr>
          <w:trHeight w:val="419" w:hRule="atLeast"/>
        </w:trPr>
        <w:tc>
          <w:tcPr>
            <w:tcW w:w="24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投影仪</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10,000</w:t>
            </w:r>
          </w:p>
        </w:tc>
        <w:tc>
          <w:tcPr>
            <w:tcW w:w="975"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6</w:t>
            </w:r>
          </w:p>
        </w:tc>
        <w:tc>
          <w:tcPr>
            <w:tcW w:w="3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r>
              <w:rPr>
                <w:rFonts w:hint="eastAsia" w:ascii="宋体" w:hAnsi="宋体" w:cs="宋体"/>
                <w:kern w:val="0"/>
                <w:sz w:val="18"/>
                <w:szCs w:val="18"/>
              </w:rPr>
              <w:t>按需配置</w:t>
            </w:r>
          </w:p>
        </w:tc>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ascii="宋体" w:hAnsi="宋体" w:cs="宋体"/>
                <w:kern w:val="0"/>
                <w:sz w:val="18"/>
                <w:szCs w:val="18"/>
              </w:rPr>
            </w:pPr>
          </w:p>
        </w:tc>
      </w:tr>
    </w:tbl>
    <w:p>
      <w:pPr>
        <w:spacing w:line="360" w:lineRule="auto"/>
        <w:outlineLvl w:val="0"/>
        <w:rPr>
          <w:rFonts w:ascii="宋体" w:hAnsi="宋体" w:eastAsia="宋体" w:cs="Times New Roman"/>
          <w:sz w:val="18"/>
          <w:szCs w:val="18"/>
        </w:rPr>
      </w:pPr>
      <w:r>
        <w:rPr>
          <w:rFonts w:hint="eastAsia" w:ascii="宋体" w:hAnsi="宋体"/>
          <w:sz w:val="18"/>
          <w:szCs w:val="18"/>
        </w:rPr>
        <w:t>注：价格上限中的价格指单台设备的价格。</w:t>
      </w:r>
    </w:p>
    <w:p>
      <w:pPr>
        <w:widowControl/>
        <w:tabs>
          <w:tab w:val="left" w:pos="7938"/>
          <w:tab w:val="left" w:pos="8364"/>
        </w:tabs>
        <w:ind w:right="158" w:rightChars="50"/>
        <w:jc w:val="both"/>
        <w:outlineLvl w:val="0"/>
        <w:rPr>
          <w:rFonts w:hint="eastAsia" w:ascii="仿宋_GB2312" w:hAnsi="宋体" w:eastAsia="仿宋_GB2312" w:cs="宋体"/>
          <w:kern w:val="0"/>
        </w:rPr>
      </w:pPr>
      <w:r>
        <w:rPr>
          <w:rFonts w:hint="eastAsia" w:ascii="仿宋_GB2312" w:hAnsi="宋体" w:eastAsia="仿宋_GB2312" w:cs="宋体"/>
          <w:kern w:val="0"/>
        </w:rPr>
        <w:t>附件2</w:t>
      </w:r>
    </w:p>
    <w:p>
      <w:pPr>
        <w:widowControl/>
        <w:tabs>
          <w:tab w:val="left" w:pos="7938"/>
          <w:tab w:val="left" w:pos="8364"/>
        </w:tabs>
        <w:ind w:right="158" w:rightChars="50"/>
        <w:jc w:val="center"/>
        <w:outlineLvl w:val="0"/>
        <w:rPr>
          <w:rFonts w:ascii="仿宋_GB2312" w:hAnsi="宋体" w:eastAsia="仿宋_GB2312" w:cs="Times New Roman"/>
          <w:szCs w:val="21"/>
        </w:rPr>
      </w:pPr>
      <w:r>
        <w:rPr>
          <w:rFonts w:hint="eastAsia" w:ascii="仿宋_GB2312" w:hAnsi="宋体" w:eastAsia="仿宋_GB2312" w:cs="宋体"/>
          <w:kern w:val="0"/>
        </w:rPr>
        <w:t>吉林大学通用办公家具配置标准表</w:t>
      </w:r>
      <w:r>
        <w:rPr>
          <w:rFonts w:hint="eastAsia" w:ascii="仿宋_GB2312" w:hAnsi="宋体" w:eastAsia="仿宋_GB2312"/>
          <w:szCs w:val="21"/>
        </w:rPr>
        <w:t xml:space="preserve">                                            </w:t>
      </w:r>
    </w:p>
    <w:tbl>
      <w:tblPr>
        <w:tblStyle w:val="11"/>
        <w:tblW w:w="9390" w:type="dxa"/>
        <w:tblInd w:w="0" w:type="dxa"/>
        <w:tblLayout w:type="fixed"/>
        <w:tblCellMar>
          <w:top w:w="0" w:type="dxa"/>
          <w:left w:w="108" w:type="dxa"/>
          <w:bottom w:w="0" w:type="dxa"/>
          <w:right w:w="108" w:type="dxa"/>
        </w:tblCellMar>
      </w:tblPr>
      <w:tblGrid>
        <w:gridCol w:w="562"/>
        <w:gridCol w:w="1134"/>
        <w:gridCol w:w="822"/>
        <w:gridCol w:w="2410"/>
        <w:gridCol w:w="2392"/>
        <w:gridCol w:w="1005"/>
        <w:gridCol w:w="1065"/>
      </w:tblGrid>
      <w:tr>
        <w:tblPrEx>
          <w:tblLayout w:type="fixed"/>
          <w:tblCellMar>
            <w:top w:w="0" w:type="dxa"/>
            <w:left w:w="108" w:type="dxa"/>
            <w:bottom w:w="0" w:type="dxa"/>
            <w:right w:w="108" w:type="dxa"/>
          </w:tblCellMar>
        </w:tblPrEx>
        <w:trPr>
          <w:trHeight w:val="465"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资产品目</w:t>
            </w: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数量上限（套、件、组）</w:t>
            </w:r>
          </w:p>
        </w:tc>
        <w:tc>
          <w:tcPr>
            <w:tcW w:w="2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价格上限（元）</w:t>
            </w: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最低使用年限（年）</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性能</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要求</w:t>
            </w:r>
          </w:p>
        </w:tc>
      </w:tr>
      <w:tr>
        <w:tblPrEx>
          <w:tblLayout w:type="fixed"/>
          <w:tblCellMar>
            <w:top w:w="0" w:type="dxa"/>
            <w:left w:w="108" w:type="dxa"/>
            <w:bottom w:w="0" w:type="dxa"/>
            <w:right w:w="108" w:type="dxa"/>
          </w:tblCellMar>
        </w:tblPrEx>
        <w:trPr>
          <w:trHeight w:val="1835"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办公桌</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1套/人</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outlineLvl w:val="9"/>
              <w:rPr>
                <w:rFonts w:hint="eastAsia" w:ascii="宋体" w:hAnsi="宋体" w:cs="宋体"/>
                <w:kern w:val="0"/>
                <w:sz w:val="18"/>
                <w:szCs w:val="18"/>
              </w:rPr>
            </w:pPr>
            <w:r>
              <w:rPr>
                <w:rFonts w:hint="eastAsia" w:ascii="宋体" w:hAnsi="宋体" w:cs="宋体"/>
                <w:kern w:val="0"/>
                <w:sz w:val="18"/>
                <w:szCs w:val="18"/>
              </w:rPr>
              <w:t>办公桌配置标准：</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outlineLvl w:val="9"/>
              <w:rPr>
                <w:rFonts w:hint="eastAsia" w:ascii="宋体" w:hAnsi="宋体" w:cs="宋体"/>
                <w:kern w:val="0"/>
                <w:sz w:val="18"/>
                <w:szCs w:val="18"/>
              </w:rPr>
            </w:pPr>
            <w:r>
              <w:rPr>
                <w:rFonts w:hint="eastAsia" w:ascii="宋体" w:hAnsi="宋体" w:cs="宋体"/>
                <w:kern w:val="0"/>
                <w:sz w:val="18"/>
                <w:szCs w:val="18"/>
              </w:rPr>
              <w:t>正处（正高）：1.8M        副处（副高）：1.6M</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outlineLvl w:val="9"/>
              <w:rPr>
                <w:rFonts w:hint="eastAsia" w:ascii="宋体" w:hAnsi="宋体" w:cs="宋体"/>
                <w:kern w:val="0"/>
                <w:sz w:val="18"/>
                <w:szCs w:val="18"/>
              </w:rPr>
            </w:pPr>
            <w:r>
              <w:rPr>
                <w:rFonts w:hint="eastAsia" w:ascii="宋体" w:hAnsi="宋体" w:cs="宋体"/>
                <w:kern w:val="0"/>
                <w:sz w:val="18"/>
                <w:szCs w:val="18"/>
              </w:rPr>
              <w:t>科级及以下（讲师及以下）：1.4M</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校级：4,500；</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正处（正高）：3,000</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副处（副高）：2,500</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科级及以下（讲师及以下）：2,000</w:t>
            </w:r>
          </w:p>
        </w:tc>
        <w:tc>
          <w:tcPr>
            <w:tcW w:w="100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15</w:t>
            </w:r>
          </w:p>
        </w:tc>
        <w:tc>
          <w:tcPr>
            <w:tcW w:w="10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充分考虑办公布局，符合简朴实用、经典耐用要求，不得配置豪华家具，不得使用名贵木材</w:t>
            </w:r>
          </w:p>
        </w:tc>
      </w:tr>
      <w:tr>
        <w:tblPrEx>
          <w:tblLayout w:type="fixed"/>
          <w:tblCellMar>
            <w:top w:w="0" w:type="dxa"/>
            <w:left w:w="108" w:type="dxa"/>
            <w:bottom w:w="0" w:type="dxa"/>
            <w:right w:w="108" w:type="dxa"/>
          </w:tblCellMar>
        </w:tblPrEx>
        <w:trPr>
          <w:trHeight w:val="510"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办公椅</w:t>
            </w: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校级：1,500；</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其它：800</w:t>
            </w:r>
          </w:p>
        </w:tc>
        <w:tc>
          <w:tcPr>
            <w:tcW w:w="10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420" w:hRule="atLeast"/>
        </w:trPr>
        <w:tc>
          <w:tcPr>
            <w:tcW w:w="56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沙发</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三人沙发</w:t>
            </w:r>
          </w:p>
        </w:tc>
        <w:tc>
          <w:tcPr>
            <w:tcW w:w="323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视办公室使用面积，每个处级及以下、教授及以下办公室可以配置1个三人沙发或2个单人沙发，校级办公室可以配置1个三人沙发和2个单人沙发</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3,000</w:t>
            </w:r>
          </w:p>
        </w:tc>
        <w:tc>
          <w:tcPr>
            <w:tcW w:w="100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15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420" w:hRule="atLeast"/>
        </w:trPr>
        <w:tc>
          <w:tcPr>
            <w:tcW w:w="5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单人沙发</w:t>
            </w:r>
          </w:p>
        </w:tc>
        <w:tc>
          <w:tcPr>
            <w:tcW w:w="323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1,500</w:t>
            </w:r>
          </w:p>
        </w:tc>
        <w:tc>
          <w:tcPr>
            <w:tcW w:w="10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0" w:hRule="atLeast"/>
        </w:trPr>
        <w:tc>
          <w:tcPr>
            <w:tcW w:w="56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茶几</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大茶几</w:t>
            </w:r>
          </w:p>
        </w:tc>
        <w:tc>
          <w:tcPr>
            <w:tcW w:w="323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视办公室使用面积，每个办公室可以选择配置1个大茶几或者1个小茶几</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1,000</w:t>
            </w:r>
          </w:p>
        </w:tc>
        <w:tc>
          <w:tcPr>
            <w:tcW w:w="100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15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404" w:hRule="atLeast"/>
        </w:trPr>
        <w:tc>
          <w:tcPr>
            <w:tcW w:w="5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小茶几</w:t>
            </w:r>
          </w:p>
        </w:tc>
        <w:tc>
          <w:tcPr>
            <w:tcW w:w="323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800</w:t>
            </w:r>
          </w:p>
        </w:tc>
        <w:tc>
          <w:tcPr>
            <w:tcW w:w="10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431" w:hRule="atLeast"/>
        </w:trPr>
        <w:tc>
          <w:tcPr>
            <w:tcW w:w="1696"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桌前椅</w:t>
            </w: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1个/办公室</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800</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15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66" w:hRule="atLeast"/>
        </w:trPr>
        <w:tc>
          <w:tcPr>
            <w:tcW w:w="169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书柜</w:t>
            </w: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校级：2组/人</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2,000</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15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70" w:hRule="atLeast"/>
        </w:trPr>
        <w:tc>
          <w:tcPr>
            <w:tcW w:w="169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1组/人</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1,200</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15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40" w:hRule="atLeast"/>
        </w:trPr>
        <w:tc>
          <w:tcPr>
            <w:tcW w:w="169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文件柜</w:t>
            </w: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1组/人</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校级：2,000；</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其它：1,000</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20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55"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更衣柜</w:t>
            </w: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1组/办公室</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校级：2,000；</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其它：1,000</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15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01"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保密柜</w:t>
            </w: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根据保密规定和工作需要合理配置</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3,000</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20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417"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茶水柜</w:t>
            </w: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1组/办公室</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1,500</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20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303"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会议桌</w:t>
            </w: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视会议室使用面积情况配置</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outlineLvl w:val="9"/>
              <w:rPr>
                <w:rFonts w:hint="eastAsia" w:ascii="宋体" w:hAnsi="宋体" w:cs="宋体"/>
                <w:kern w:val="0"/>
                <w:sz w:val="18"/>
                <w:szCs w:val="18"/>
              </w:rPr>
            </w:pPr>
            <w:r>
              <w:rPr>
                <w:rFonts w:hint="eastAsia" w:ascii="宋体" w:hAnsi="宋体" w:cs="宋体"/>
                <w:kern w:val="0"/>
                <w:sz w:val="18"/>
                <w:szCs w:val="18"/>
              </w:rPr>
              <w:t>会议室使用面积在50（含）平方米以下：1600元/平方米；50-100（含）平方米：1200元/平方米；</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100平方米以上：1000元/平方米</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20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58"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会议椅</w:t>
            </w:r>
          </w:p>
        </w:tc>
        <w:tc>
          <w:tcPr>
            <w:tcW w:w="3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视会议室使用面积情况配置</w:t>
            </w:r>
          </w:p>
        </w:tc>
        <w:tc>
          <w:tcPr>
            <w:tcW w:w="23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800</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r>
              <w:rPr>
                <w:rFonts w:hint="eastAsia" w:ascii="宋体" w:hAnsi="宋体" w:cs="宋体"/>
                <w:kern w:val="0"/>
                <w:sz w:val="18"/>
                <w:szCs w:val="18"/>
              </w:rPr>
              <w:t xml:space="preserve">15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hint="eastAsia" w:ascii="宋体" w:hAnsi="宋体" w:cs="宋体"/>
                <w:kern w:val="0"/>
                <w:sz w:val="18"/>
                <w:szCs w:val="18"/>
              </w:rPr>
            </w:pPr>
          </w:p>
        </w:tc>
      </w:tr>
    </w:tbl>
    <w:p>
      <w:pPr>
        <w:widowControl/>
        <w:jc w:val="left"/>
        <w:rPr>
          <w:rFonts w:ascii="宋体" w:hAnsi="宋体" w:cs="宋体"/>
          <w:kern w:val="0"/>
          <w:sz w:val="18"/>
          <w:szCs w:val="18"/>
        </w:rPr>
      </w:pPr>
      <w:r>
        <w:rPr>
          <w:rFonts w:hint="eastAsia" w:ascii="宋体" w:hAnsi="宋体" w:cs="宋体"/>
          <w:kern w:val="0"/>
          <w:sz w:val="18"/>
          <w:szCs w:val="18"/>
        </w:rPr>
        <w:t>备注  1.配置具有组合功能的办公家具，价格不得高于各单项资产的价格之和。</w:t>
      </w:r>
    </w:p>
    <w:p>
      <w:pPr>
        <w:rPr>
          <w:rFonts w:hint="eastAsia" w:ascii="仿宋" w:hAnsi="仿宋" w:eastAsia="仿宋" w:cs="宋体"/>
          <w:kern w:val="0"/>
          <w:szCs w:val="21"/>
        </w:rPr>
      </w:pPr>
      <w:r>
        <w:rPr>
          <w:rFonts w:hint="eastAsia" w:ascii="宋体" w:hAnsi="宋体" w:cs="宋体"/>
          <w:kern w:val="0"/>
          <w:sz w:val="18"/>
          <w:szCs w:val="18"/>
        </w:rPr>
        <w:t>2.价格上限中的价格指单件家具的价格。</w:t>
      </w:r>
      <w:bookmarkStart w:id="2" w:name="_GoBack"/>
      <w:bookmarkEnd w:id="2"/>
    </w:p>
    <w:sectPr>
      <w:pgSz w:w="11906" w:h="16838"/>
      <w:pgMar w:top="1701" w:right="1531" w:bottom="1531" w:left="1531" w:header="851" w:footer="992" w:gutter="0"/>
      <w:pgNumType w:fmt="numberInDash"/>
      <w:cols w:space="720" w:num="1"/>
      <w:docGrid w:type="linesAndChars" w:linePitch="61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   ź">
    <w:altName w:val="Times New Roman"/>
    <w:panose1 w:val="00000000000000000000"/>
    <w:charset w:val="00"/>
    <w:family w:val="roman"/>
    <w:pitch w:val="default"/>
    <w:sig w:usb0="00000000" w:usb1="00000000" w:usb2="00000000" w:usb3="00000000" w:csb0="00000000" w:csb1="00000000"/>
  </w:font>
  <w:font w:name="΢���ź�">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- 4 -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3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3B"/>
    <w:rsid w:val="00080E24"/>
    <w:rsid w:val="000849E8"/>
    <w:rsid w:val="000851A4"/>
    <w:rsid w:val="0009624F"/>
    <w:rsid w:val="000D50CE"/>
    <w:rsid w:val="000F1D26"/>
    <w:rsid w:val="0010306A"/>
    <w:rsid w:val="00104A25"/>
    <w:rsid w:val="001063F8"/>
    <w:rsid w:val="00144375"/>
    <w:rsid w:val="00172648"/>
    <w:rsid w:val="001B3EE4"/>
    <w:rsid w:val="001C12FE"/>
    <w:rsid w:val="001C13E1"/>
    <w:rsid w:val="001E034E"/>
    <w:rsid w:val="00215B96"/>
    <w:rsid w:val="0022525E"/>
    <w:rsid w:val="00237F9B"/>
    <w:rsid w:val="00264A9B"/>
    <w:rsid w:val="002710DA"/>
    <w:rsid w:val="002C370B"/>
    <w:rsid w:val="002E4641"/>
    <w:rsid w:val="002F4A43"/>
    <w:rsid w:val="002F7126"/>
    <w:rsid w:val="00301438"/>
    <w:rsid w:val="00303189"/>
    <w:rsid w:val="003171E0"/>
    <w:rsid w:val="00332B2B"/>
    <w:rsid w:val="0034037C"/>
    <w:rsid w:val="003646AB"/>
    <w:rsid w:val="00396ED5"/>
    <w:rsid w:val="003C0F20"/>
    <w:rsid w:val="003C1951"/>
    <w:rsid w:val="003D10A2"/>
    <w:rsid w:val="003D5355"/>
    <w:rsid w:val="003E4D1E"/>
    <w:rsid w:val="00407605"/>
    <w:rsid w:val="004371E2"/>
    <w:rsid w:val="004600CB"/>
    <w:rsid w:val="00467FE3"/>
    <w:rsid w:val="0048006B"/>
    <w:rsid w:val="004929D0"/>
    <w:rsid w:val="004C0F4F"/>
    <w:rsid w:val="004C697D"/>
    <w:rsid w:val="004D57E6"/>
    <w:rsid w:val="004D5C15"/>
    <w:rsid w:val="0057084F"/>
    <w:rsid w:val="005A486B"/>
    <w:rsid w:val="005C2BBC"/>
    <w:rsid w:val="005F2D5D"/>
    <w:rsid w:val="005F6AD4"/>
    <w:rsid w:val="00617F0C"/>
    <w:rsid w:val="00622FE5"/>
    <w:rsid w:val="00633376"/>
    <w:rsid w:val="00657C99"/>
    <w:rsid w:val="006670D8"/>
    <w:rsid w:val="00691C40"/>
    <w:rsid w:val="00696C01"/>
    <w:rsid w:val="006B1ED6"/>
    <w:rsid w:val="006B30C4"/>
    <w:rsid w:val="006C2CBA"/>
    <w:rsid w:val="006C75CC"/>
    <w:rsid w:val="00703991"/>
    <w:rsid w:val="0070413B"/>
    <w:rsid w:val="00730B43"/>
    <w:rsid w:val="0073700B"/>
    <w:rsid w:val="0077427A"/>
    <w:rsid w:val="007D5C9D"/>
    <w:rsid w:val="007D7124"/>
    <w:rsid w:val="00814AD4"/>
    <w:rsid w:val="00836FF4"/>
    <w:rsid w:val="00852039"/>
    <w:rsid w:val="0086732E"/>
    <w:rsid w:val="008728E7"/>
    <w:rsid w:val="00883996"/>
    <w:rsid w:val="008B0E9E"/>
    <w:rsid w:val="008E61C8"/>
    <w:rsid w:val="008F5319"/>
    <w:rsid w:val="008F5804"/>
    <w:rsid w:val="009054C3"/>
    <w:rsid w:val="009251B8"/>
    <w:rsid w:val="0099176C"/>
    <w:rsid w:val="00997FD9"/>
    <w:rsid w:val="009A1524"/>
    <w:rsid w:val="009B7E1F"/>
    <w:rsid w:val="009E06B0"/>
    <w:rsid w:val="00A16265"/>
    <w:rsid w:val="00A53A5C"/>
    <w:rsid w:val="00AD3AA9"/>
    <w:rsid w:val="00AE1078"/>
    <w:rsid w:val="00AE5D6F"/>
    <w:rsid w:val="00B16089"/>
    <w:rsid w:val="00B16E8D"/>
    <w:rsid w:val="00B31CAD"/>
    <w:rsid w:val="00B5580F"/>
    <w:rsid w:val="00B60DFE"/>
    <w:rsid w:val="00B620A2"/>
    <w:rsid w:val="00B74BAB"/>
    <w:rsid w:val="00B74BB7"/>
    <w:rsid w:val="00B836F4"/>
    <w:rsid w:val="00BA317F"/>
    <w:rsid w:val="00BA4EA0"/>
    <w:rsid w:val="00BD0F95"/>
    <w:rsid w:val="00BE6C4A"/>
    <w:rsid w:val="00C06AA9"/>
    <w:rsid w:val="00C77485"/>
    <w:rsid w:val="00C82764"/>
    <w:rsid w:val="00CA6555"/>
    <w:rsid w:val="00CB1A10"/>
    <w:rsid w:val="00D054D9"/>
    <w:rsid w:val="00D1076B"/>
    <w:rsid w:val="00D16207"/>
    <w:rsid w:val="00D37B0B"/>
    <w:rsid w:val="00D37F56"/>
    <w:rsid w:val="00DB6941"/>
    <w:rsid w:val="00DE673C"/>
    <w:rsid w:val="00E0560E"/>
    <w:rsid w:val="00E32A85"/>
    <w:rsid w:val="00E44A03"/>
    <w:rsid w:val="00E458F3"/>
    <w:rsid w:val="00E738D3"/>
    <w:rsid w:val="00E7456B"/>
    <w:rsid w:val="00E9025B"/>
    <w:rsid w:val="00ED4A32"/>
    <w:rsid w:val="00EE3FF0"/>
    <w:rsid w:val="00EE48CB"/>
    <w:rsid w:val="00EF61D3"/>
    <w:rsid w:val="00F315B7"/>
    <w:rsid w:val="00F4303E"/>
    <w:rsid w:val="00F94648"/>
    <w:rsid w:val="00FC36CB"/>
    <w:rsid w:val="00FE7563"/>
    <w:rsid w:val="107A3871"/>
    <w:rsid w:val="171707ED"/>
    <w:rsid w:val="26883C62"/>
    <w:rsid w:val="4CEE691F"/>
    <w:rsid w:val="52A47E6A"/>
    <w:rsid w:val="58D428A5"/>
    <w:rsid w:val="5BDF0E25"/>
    <w:rsid w:val="5FD36534"/>
    <w:rsid w:val="7A86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link w:val="12"/>
    <w:uiPriority w:val="0"/>
    <w:rPr>
      <w:b/>
      <w:bCs/>
    </w:rPr>
  </w:style>
  <w:style w:type="paragraph" w:styleId="3">
    <w:name w:val="annotation text"/>
    <w:basedOn w:val="1"/>
    <w:link w:val="13"/>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styleId="10">
    <w:name w:val="annotation reference"/>
    <w:uiPriority w:val="0"/>
    <w:rPr>
      <w:sz w:val="21"/>
      <w:szCs w:val="21"/>
    </w:rPr>
  </w:style>
  <w:style w:type="character" w:customStyle="1" w:styleId="12">
    <w:name w:val="批注主题 Char"/>
    <w:link w:val="2"/>
    <w:uiPriority w:val="0"/>
    <w:rPr>
      <w:b/>
      <w:bCs/>
      <w:kern w:val="2"/>
      <w:sz w:val="32"/>
      <w:szCs w:val="32"/>
    </w:rPr>
  </w:style>
  <w:style w:type="character" w:customStyle="1" w:styleId="13">
    <w:name w:val="批注文字 Char"/>
    <w:link w:val="3"/>
    <w:uiPriority w:val="0"/>
    <w:rPr>
      <w:kern w:val="2"/>
      <w:sz w:val="32"/>
      <w:szCs w:val="32"/>
    </w:rPr>
  </w:style>
  <w:style w:type="character" w:customStyle="1" w:styleId="14">
    <w:name w:val="style21"/>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1230</Words>
  <Characters>166</Characters>
  <Lines>1</Lines>
  <Paragraphs>2</Paragraphs>
  <TotalTime>6</TotalTime>
  <ScaleCrop>false</ScaleCrop>
  <LinksUpToDate>false</LinksUpToDate>
  <CharactersWithSpaces>1394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2018-09-26T01:18:00Z</dcterms:created>
  <dc:creator>lenovo</dc:creator>
  <cp:lastModifiedBy>玫瑰味的鱼</cp:lastModifiedBy>
  <cp:lastPrinted>2018-09-25T07:45:00Z</cp:lastPrinted>
  <dcterms:modified xsi:type="dcterms:W3CDTF">2018-09-26T03:02:49Z</dcterms:modified>
  <dc:title>校发〔2014〕200号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