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0"/>
          <w:szCs w:val="40"/>
          <w:u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0"/>
          <w:szCs w:val="40"/>
          <w:u w:val="none"/>
        </w:rPr>
        <w:t>吉林大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000000"/>
          <w:sz w:val="40"/>
          <w:szCs w:val="40"/>
          <w:u w:val="none"/>
        </w:rPr>
        <w:t>学人事代理</w:t>
      </w:r>
      <w:r>
        <w:rPr>
          <w:rFonts w:hint="eastAsia" w:eastAsia="方正小标宋简体" w:cs="Times New Roman"/>
          <w:b/>
          <w:bCs/>
          <w:color w:val="000000"/>
          <w:sz w:val="40"/>
          <w:szCs w:val="40"/>
          <w:u w:val="none"/>
          <w:lang w:val="en-US" w:eastAsia="zh-CN"/>
        </w:rPr>
        <w:t>人员管理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0"/>
          <w:szCs w:val="40"/>
          <w:u w:val="none"/>
        </w:rPr>
        <w:t>暂行办法（修订）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u w:val="none"/>
        </w:rPr>
        <w:t>第一章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u w:val="none"/>
        </w:rPr>
        <w:t xml:space="preserve"> 总则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第一条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为深化我校人事制度改革，进一步建立和完善 “能进能出”的用人机制，根据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《人才市场管理规定》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《吉林大学新聘人员聘用管理办法》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相关规定，结合学校实际，制定本暂行办法。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本办法中人事代理人员是指由学校新聘并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与学校签订相应岗位固定期限聘用合同、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聘期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内按照人事代理方式管理的学校工作人员。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第三条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学校通过公开招标方式确定人事代理机构（以下简称“代理机构”），并与代理机构签订代理协议，明确双方的权利、责任和义务。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u w:val="none"/>
        </w:rPr>
        <w:t xml:space="preserve">第二章  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u w:val="none"/>
          <w:lang w:val="en-US" w:eastAsia="zh-CN"/>
        </w:rPr>
        <w:t>人事代理关系各方职责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第四条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代理机构权责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（一）负责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的人事关系、档案管理，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的工资发放及保险、公积金的代扣代缴。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（二）负责为辞职、辞退、解除或终止聘用合同的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办理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人事关系转移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及相关手续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（三）负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责学校与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人事争议的调解。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）负责依据档案内容，出具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相关证明。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）负责办理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其他人事代理业务。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学校人力资源处权责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（一）确定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的岗位职责、工作纪律、考核标准等基本工作要求。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（二）审核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的聘用资格，负责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来校工作手续的办理。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（三）负责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聘用合同的签订以及解除聘用关系意见的提出。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（四）负责向代理机构支付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工资、人事代理费用和保险等相关费用。 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第六条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校内各用人单位权责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（一）负责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的日常管理和考核。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（二）根据学校相关规定并依据考核结果，对合同期满的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提出聘用建议（签订续聘合同、解聘等）。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u w:val="none"/>
        </w:rPr>
        <w:t xml:space="preserve">第三章  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u w:val="none"/>
          <w:lang w:val="en-US" w:eastAsia="zh-CN"/>
        </w:rPr>
        <w:t>管理与考核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聘用合同的签订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与学校签订聘用合同，一个聘期一般为三年，其内容包括：合同期限、聘用岗位及要求、工资福利待遇、聘用合同解除及终止、聘用合同的续签、违约处理等。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续聘与考核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（一）聘期结束前一个月内，由学校及用人单位对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进行聘期考核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。首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聘期考核优秀的，可续聘三年，并由人事代理方式转为学校直接管理；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聘期考核合格的，可续聘三年，学校继续以人事代理方式进行管理。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第二聘期考核合格及以上的，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由人事代理方式转为学校直接管理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首聘期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第二聘期考核不合格的，学校不再聘用。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（二）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聘期内的年度考核结果是聘期考核的重要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参考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试用期考核结果视同为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首聘期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年的年度考核结果。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各用人单位根据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在聘期内的工作表现，确定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的聘期考核结果。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聘用合同的解除、终止、续签及违约处理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聘用合同的解除、终止、续签及违约处理，按照具体合同内容执行。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争议处理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因聘用合同履行或解除等发生争议的，应先由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、用人单位及学校协商，并由代理机构配合解决。协商解决无效的，可向有关仲裁机构提出仲裁申请。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u w:val="none"/>
        </w:rPr>
        <w:t xml:space="preserve">第四章 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u w:val="none"/>
          <w:lang w:val="en-US" w:eastAsia="zh-CN"/>
        </w:rPr>
        <w:t>人员待遇与权益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学校参照同类人员工资待遇水平，确定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工资待遇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职务职级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专业技术职务评聘、评奖评优及福利待遇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等与其他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在编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教职工同等对待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养老保险、医疗保险等以及住房公积金按国家及地方有关部门的规定，由学校委托代理机构办理缴存手续。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u w:val="none"/>
        </w:rPr>
        <w:t>第五章  附则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eastAsia="zh-CN"/>
        </w:rPr>
        <w:t>人事代理人员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的党、团、工会关系，按照中央及国家有关规定办理接转手续。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第十三条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学校编外使用的人才派遣人员、劳务派遣人员不适用于本办法，具体管理办法另行规定。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第十四条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本办法由学校人力资源处负责解释。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u w:val="none"/>
        </w:rPr>
        <w:t>第十五条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本办法自公布之日起施行，原《吉林大学人事代理暂行办法》（校发〔2016〕376号）同时废止。                   </w:t>
      </w:r>
    </w:p>
    <w:sectPr>
      <w:footerReference r:id="rId3" w:type="default"/>
      <w:pgSz w:w="11906" w:h="16838"/>
      <w:pgMar w:top="1361" w:right="1588" w:bottom="136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A5"/>
    <w:rsid w:val="00005D30"/>
    <w:rsid w:val="0005498F"/>
    <w:rsid w:val="0007595F"/>
    <w:rsid w:val="000C57D1"/>
    <w:rsid w:val="000C7D09"/>
    <w:rsid w:val="001035EA"/>
    <w:rsid w:val="0011398E"/>
    <w:rsid w:val="00132BDB"/>
    <w:rsid w:val="00164880"/>
    <w:rsid w:val="00173394"/>
    <w:rsid w:val="0017344B"/>
    <w:rsid w:val="001C29C0"/>
    <w:rsid w:val="001E0347"/>
    <w:rsid w:val="001F1427"/>
    <w:rsid w:val="00206AC2"/>
    <w:rsid w:val="0021416B"/>
    <w:rsid w:val="00251246"/>
    <w:rsid w:val="00280ECF"/>
    <w:rsid w:val="00291E13"/>
    <w:rsid w:val="00292F12"/>
    <w:rsid w:val="002B3694"/>
    <w:rsid w:val="002B704B"/>
    <w:rsid w:val="002C25D6"/>
    <w:rsid w:val="002C6914"/>
    <w:rsid w:val="002F585A"/>
    <w:rsid w:val="00323587"/>
    <w:rsid w:val="00337B51"/>
    <w:rsid w:val="003A318F"/>
    <w:rsid w:val="003A6B7B"/>
    <w:rsid w:val="003C6F1D"/>
    <w:rsid w:val="003D64BA"/>
    <w:rsid w:val="003E0D26"/>
    <w:rsid w:val="003E2981"/>
    <w:rsid w:val="003E7AB3"/>
    <w:rsid w:val="003F32EC"/>
    <w:rsid w:val="003F699E"/>
    <w:rsid w:val="00417078"/>
    <w:rsid w:val="00423D5B"/>
    <w:rsid w:val="00452F59"/>
    <w:rsid w:val="00456A6B"/>
    <w:rsid w:val="004738FE"/>
    <w:rsid w:val="00511639"/>
    <w:rsid w:val="005641BD"/>
    <w:rsid w:val="00586407"/>
    <w:rsid w:val="00595247"/>
    <w:rsid w:val="005D351B"/>
    <w:rsid w:val="005E6372"/>
    <w:rsid w:val="00605938"/>
    <w:rsid w:val="00616A93"/>
    <w:rsid w:val="0065038E"/>
    <w:rsid w:val="00671A63"/>
    <w:rsid w:val="00672B58"/>
    <w:rsid w:val="006763F6"/>
    <w:rsid w:val="00763458"/>
    <w:rsid w:val="007B0262"/>
    <w:rsid w:val="007C1CA5"/>
    <w:rsid w:val="007C5849"/>
    <w:rsid w:val="007D5ADA"/>
    <w:rsid w:val="007F14F2"/>
    <w:rsid w:val="00816B08"/>
    <w:rsid w:val="00824345"/>
    <w:rsid w:val="008B11DF"/>
    <w:rsid w:val="008B330A"/>
    <w:rsid w:val="008C2F9E"/>
    <w:rsid w:val="008F7213"/>
    <w:rsid w:val="0090263B"/>
    <w:rsid w:val="00943F91"/>
    <w:rsid w:val="00947992"/>
    <w:rsid w:val="00994278"/>
    <w:rsid w:val="00994AA4"/>
    <w:rsid w:val="00995566"/>
    <w:rsid w:val="009A3750"/>
    <w:rsid w:val="009B20E7"/>
    <w:rsid w:val="009D5144"/>
    <w:rsid w:val="00A54753"/>
    <w:rsid w:val="00A61CCD"/>
    <w:rsid w:val="00AA6ACB"/>
    <w:rsid w:val="00AC3632"/>
    <w:rsid w:val="00AF0F54"/>
    <w:rsid w:val="00B0120D"/>
    <w:rsid w:val="00B036B8"/>
    <w:rsid w:val="00B152D3"/>
    <w:rsid w:val="00B32C87"/>
    <w:rsid w:val="00BD27BF"/>
    <w:rsid w:val="00BE20AC"/>
    <w:rsid w:val="00BF01C7"/>
    <w:rsid w:val="00C05CA2"/>
    <w:rsid w:val="00C14864"/>
    <w:rsid w:val="00C32ED6"/>
    <w:rsid w:val="00C33459"/>
    <w:rsid w:val="00C3448F"/>
    <w:rsid w:val="00C36B72"/>
    <w:rsid w:val="00C46964"/>
    <w:rsid w:val="00C60B8A"/>
    <w:rsid w:val="00C6694D"/>
    <w:rsid w:val="00C76D14"/>
    <w:rsid w:val="00C8451B"/>
    <w:rsid w:val="00CC7651"/>
    <w:rsid w:val="00CC7DBF"/>
    <w:rsid w:val="00CD2CF3"/>
    <w:rsid w:val="00CE1C19"/>
    <w:rsid w:val="00CF2B01"/>
    <w:rsid w:val="00CF640A"/>
    <w:rsid w:val="00D12577"/>
    <w:rsid w:val="00D135E4"/>
    <w:rsid w:val="00D14468"/>
    <w:rsid w:val="00D21D8E"/>
    <w:rsid w:val="00D5694D"/>
    <w:rsid w:val="00D61202"/>
    <w:rsid w:val="00D6620B"/>
    <w:rsid w:val="00D8346D"/>
    <w:rsid w:val="00D938A2"/>
    <w:rsid w:val="00DB51D5"/>
    <w:rsid w:val="00DC4810"/>
    <w:rsid w:val="00E72C70"/>
    <w:rsid w:val="00ED53F4"/>
    <w:rsid w:val="00F15F77"/>
    <w:rsid w:val="00F56F24"/>
    <w:rsid w:val="00F602B3"/>
    <w:rsid w:val="00F82673"/>
    <w:rsid w:val="00F96723"/>
    <w:rsid w:val="00FC01A8"/>
    <w:rsid w:val="00FD6018"/>
    <w:rsid w:val="00FD6B4F"/>
    <w:rsid w:val="00FE677F"/>
    <w:rsid w:val="00FF6652"/>
    <w:rsid w:val="08A432B7"/>
    <w:rsid w:val="0E68186F"/>
    <w:rsid w:val="10F0561A"/>
    <w:rsid w:val="12282C42"/>
    <w:rsid w:val="19714AA2"/>
    <w:rsid w:val="21B14618"/>
    <w:rsid w:val="24E13248"/>
    <w:rsid w:val="26914FAA"/>
    <w:rsid w:val="297927FD"/>
    <w:rsid w:val="2C636297"/>
    <w:rsid w:val="2D503DDB"/>
    <w:rsid w:val="309E763E"/>
    <w:rsid w:val="30BD23EB"/>
    <w:rsid w:val="32744F6A"/>
    <w:rsid w:val="330234D6"/>
    <w:rsid w:val="35A50F39"/>
    <w:rsid w:val="35FD1946"/>
    <w:rsid w:val="40271558"/>
    <w:rsid w:val="4034736D"/>
    <w:rsid w:val="470E02F0"/>
    <w:rsid w:val="4AE01BF7"/>
    <w:rsid w:val="4BCC17E3"/>
    <w:rsid w:val="56E74B1F"/>
    <w:rsid w:val="5B625237"/>
    <w:rsid w:val="5B8854D6"/>
    <w:rsid w:val="5D0E569D"/>
    <w:rsid w:val="60060845"/>
    <w:rsid w:val="64232FFF"/>
    <w:rsid w:val="65FE017A"/>
    <w:rsid w:val="6A1E5066"/>
    <w:rsid w:val="737E275A"/>
    <w:rsid w:val="77981E89"/>
    <w:rsid w:val="7E205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227</Words>
  <Characters>1297</Characters>
  <Lines>10</Lines>
  <Paragraphs>3</Paragraphs>
  <TotalTime>3</TotalTime>
  <ScaleCrop>false</ScaleCrop>
  <LinksUpToDate>false</LinksUpToDate>
  <CharactersWithSpaces>1521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2016-09-18T03:03:00Z</dcterms:created>
  <dc:creator>User</dc:creator>
  <cp:lastModifiedBy>人事科</cp:lastModifiedBy>
  <cp:lastPrinted>2021-07-20T02:32:00Z</cp:lastPrinted>
  <dcterms:modified xsi:type="dcterms:W3CDTF">2021-07-22T07:21:55Z</dcterms:modified>
  <dc:title>吉林大学人事代理暂行办法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B4D2D95E10F0438CA3997CF55BCA2F0B</vt:lpwstr>
  </property>
</Properties>
</file>